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napToGrid w:val="0"/>
          <w:kern w:val="0"/>
          <w:sz w:val="44"/>
          <w:szCs w:val="44"/>
        </w:rPr>
      </w:pPr>
      <w:r>
        <w:drawing>
          <wp:anchor distT="0" distB="0" distL="114300" distR="114300" simplePos="0" relativeHeight="251660288" behindDoc="1" locked="0" layoutInCell="1" allowOverlap="1">
            <wp:simplePos x="0" y="0"/>
            <wp:positionH relativeFrom="column">
              <wp:posOffset>-939800</wp:posOffset>
            </wp:positionH>
            <wp:positionV relativeFrom="paragraph">
              <wp:posOffset>-800100</wp:posOffset>
            </wp:positionV>
            <wp:extent cx="7543800" cy="10599420"/>
            <wp:effectExtent l="0" t="0" r="0" b="0"/>
            <wp:wrapNone/>
            <wp:docPr id="2" name="图片 2" descr="说明: 人文行政红头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人文行政红头文件"/>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543800" cy="10599420"/>
                    </a:xfrm>
                    <a:prstGeom prst="rect">
                      <a:avLst/>
                    </a:prstGeom>
                    <a:noFill/>
                    <a:ln>
                      <a:noFill/>
                    </a:ln>
                  </pic:spPr>
                </pic:pic>
              </a:graphicData>
            </a:graphic>
          </wp:anchor>
        </w:drawing>
      </w:r>
    </w:p>
    <w:p>
      <w:pPr>
        <w:jc w:val="center"/>
        <w:rPr>
          <w:rFonts w:ascii="方正小标宋_GBK" w:eastAsia="方正小标宋_GBK"/>
          <w:snapToGrid w:val="0"/>
          <w:kern w:val="0"/>
          <w:sz w:val="44"/>
          <w:szCs w:val="44"/>
        </w:rPr>
      </w:pPr>
    </w:p>
    <w:p>
      <w:pPr>
        <w:jc w:val="center"/>
        <w:rPr>
          <w:rFonts w:ascii="方正小标宋_GBK" w:eastAsia="方正小标宋_GBK"/>
          <w:snapToGrid w:val="0"/>
          <w:kern w:val="0"/>
          <w:sz w:val="44"/>
          <w:szCs w:val="44"/>
        </w:rPr>
      </w:pPr>
    </w:p>
    <w:p>
      <w:pPr>
        <w:spacing w:before="156" w:beforeLines="50" w:after="156" w:afterLines="50"/>
        <w:jc w:val="center"/>
        <w:rPr>
          <w:b/>
          <w:sz w:val="30"/>
          <w:szCs w:val="30"/>
        </w:rPr>
      </w:pPr>
      <w:r>
        <w:rPr>
          <w:rFonts w:hint="eastAsia" w:ascii="仿宋_GB2312" w:eastAsia="仿宋_GB2312"/>
          <w:bCs/>
          <w:sz w:val="32"/>
          <w:szCs w:val="72"/>
        </w:rPr>
        <w:t>院  字〔</w:t>
      </w:r>
      <w:r>
        <w:rPr>
          <w:rFonts w:hint="eastAsia" w:ascii="仿宋_GB2312" w:hAnsi="宋体" w:eastAsia="仿宋_GB2312"/>
          <w:bCs/>
          <w:sz w:val="32"/>
          <w:szCs w:val="72"/>
        </w:rPr>
        <w:t>20</w:t>
      </w:r>
      <w:r>
        <w:rPr>
          <w:rFonts w:ascii="仿宋_GB2312" w:hAnsi="宋体" w:eastAsia="仿宋_GB2312"/>
          <w:bCs/>
          <w:sz w:val="32"/>
          <w:szCs w:val="72"/>
        </w:rPr>
        <w:t>20</w:t>
      </w:r>
      <w:r>
        <w:rPr>
          <w:rFonts w:hint="eastAsia" w:ascii="仿宋_GB2312" w:eastAsia="仿宋_GB2312"/>
          <w:bCs/>
          <w:sz w:val="32"/>
          <w:szCs w:val="72"/>
        </w:rPr>
        <w:t>〕1</w:t>
      </w:r>
      <w:r>
        <w:rPr>
          <w:rFonts w:ascii="仿宋_GB2312" w:eastAsia="仿宋_GB2312"/>
          <w:bCs/>
          <w:sz w:val="32"/>
          <w:szCs w:val="72"/>
        </w:rPr>
        <w:t>9</w:t>
      </w:r>
      <w:r>
        <w:rPr>
          <w:rFonts w:hint="eastAsia" w:ascii="仿宋_GB2312" w:eastAsia="仿宋_GB2312"/>
          <w:bCs/>
          <w:sz w:val="32"/>
          <w:szCs w:val="72"/>
        </w:rPr>
        <w:t>号</w:t>
      </w:r>
    </w:p>
    <w:p>
      <w:pPr>
        <w:spacing w:line="600" w:lineRule="exact"/>
        <w:contextualSpacing/>
        <w:jc w:val="center"/>
        <w:rPr>
          <w:rFonts w:ascii="宋体" w:hAnsi="宋体"/>
          <w:b/>
          <w:snapToGrid w:val="0"/>
          <w:kern w:val="0"/>
          <w:sz w:val="30"/>
          <w:szCs w:val="30"/>
        </w:rPr>
      </w:pPr>
    </w:p>
    <w:p>
      <w:pPr>
        <w:spacing w:line="600" w:lineRule="exact"/>
        <w:contextualSpacing/>
        <w:jc w:val="center"/>
        <w:rPr>
          <w:rFonts w:ascii="宋体" w:hAnsi="宋体"/>
          <w:b/>
          <w:snapToGrid w:val="0"/>
          <w:kern w:val="0"/>
          <w:sz w:val="30"/>
          <w:szCs w:val="30"/>
        </w:rPr>
      </w:pPr>
    </w:p>
    <w:p>
      <w:pPr>
        <w:snapToGrid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人文与社会科学学院</w:t>
      </w:r>
    </w:p>
    <w:p>
      <w:pPr>
        <w:tabs>
          <w:tab w:val="left" w:pos="2465"/>
        </w:tabs>
        <w:adjustRightInd w:val="0"/>
        <w:snapToGrid w:val="0"/>
        <w:spacing w:line="600" w:lineRule="exact"/>
        <w:ind w:firstLine="880" w:firstLineChars="200"/>
        <w:contextualSpacing/>
        <w:jc w:val="center"/>
        <w:rPr>
          <w:rFonts w:ascii="方正小标宋简体" w:eastAsia="方正小标宋简体"/>
          <w:sz w:val="44"/>
          <w:szCs w:val="44"/>
        </w:rPr>
      </w:pPr>
      <w:r>
        <w:rPr>
          <w:rFonts w:hint="eastAsia" w:ascii="方正小标宋简体" w:eastAsia="方正小标宋简体"/>
          <w:sz w:val="44"/>
          <w:szCs w:val="44"/>
        </w:rPr>
        <w:t>关于印发《人文与社会科学学院绩效考核方案（试行）》（修订版）的通知</w:t>
      </w:r>
    </w:p>
    <w:p>
      <w:pPr>
        <w:snapToGrid w:val="0"/>
        <w:spacing w:line="580" w:lineRule="exact"/>
        <w:jc w:val="center"/>
        <w:rPr>
          <w:rFonts w:ascii="方正小标宋简体" w:eastAsia="方正小标宋简体"/>
          <w:sz w:val="32"/>
          <w:szCs w:val="28"/>
        </w:rPr>
      </w:pPr>
    </w:p>
    <w:p>
      <w:pPr>
        <w:tabs>
          <w:tab w:val="left" w:pos="2465"/>
        </w:tabs>
        <w:adjustRightInd w:val="0"/>
        <w:snapToGrid w:val="0"/>
        <w:spacing w:line="600" w:lineRule="exact"/>
        <w:contextualSpacing/>
        <w:jc w:val="left"/>
        <w:rPr>
          <w:rFonts w:ascii="仿宋_GB2312" w:eastAsia="仿宋_GB2312"/>
          <w:sz w:val="32"/>
          <w:szCs w:val="32"/>
        </w:rPr>
      </w:pPr>
      <w:r>
        <w:rPr>
          <w:rFonts w:hint="eastAsia" w:ascii="仿宋_GB2312" w:eastAsia="仿宋_GB2312"/>
          <w:sz w:val="32"/>
          <w:szCs w:val="32"/>
        </w:rPr>
        <w:t>各系、中心：</w:t>
      </w:r>
    </w:p>
    <w:p>
      <w:pPr>
        <w:adjustRightInd w:val="0"/>
        <w:snapToGrid w:val="0"/>
        <w:spacing w:line="578" w:lineRule="exact"/>
        <w:ind w:firstLine="640" w:firstLineChars="200"/>
        <w:jc w:val="left"/>
        <w:rPr>
          <w:rFonts w:eastAsia="仿宋_GB2312"/>
          <w:sz w:val="32"/>
          <w:szCs w:val="32"/>
        </w:rPr>
      </w:pPr>
      <w:r>
        <w:rPr>
          <w:rFonts w:hint="eastAsia" w:ascii="仿宋_GB2312" w:eastAsia="仿宋_GB2312"/>
          <w:sz w:val="32"/>
          <w:szCs w:val="32"/>
        </w:rPr>
        <w:t>《人文与社会科学学院绩效考核方案（试行）》（修订版）已经学院</w:t>
      </w:r>
      <w:r>
        <w:rPr>
          <w:rFonts w:ascii="仿宋_GB2312" w:eastAsia="仿宋_GB2312"/>
          <w:sz w:val="32"/>
          <w:szCs w:val="32"/>
        </w:rPr>
        <w:t>学术委员会讨论通过</w:t>
      </w:r>
      <w:r>
        <w:rPr>
          <w:rFonts w:hint="eastAsia" w:ascii="仿宋_GB2312" w:eastAsia="仿宋_GB2312"/>
          <w:sz w:val="32"/>
          <w:szCs w:val="32"/>
        </w:rPr>
        <w:t>，现</w:t>
      </w:r>
      <w:r>
        <w:rPr>
          <w:rFonts w:hint="eastAsia" w:eastAsia="仿宋_GB2312"/>
          <w:sz w:val="32"/>
          <w:szCs w:val="32"/>
        </w:rPr>
        <w:t>予印发，请遵照执行。</w:t>
      </w:r>
    </w:p>
    <w:p>
      <w:pPr>
        <w:tabs>
          <w:tab w:val="left" w:pos="2465"/>
        </w:tabs>
        <w:adjustRightInd w:val="0"/>
        <w:snapToGrid w:val="0"/>
        <w:spacing w:line="600" w:lineRule="exact"/>
        <w:ind w:firstLine="640" w:firstLineChars="200"/>
        <w:contextualSpacing/>
        <w:jc w:val="left"/>
        <w:rPr>
          <w:rFonts w:ascii="仿宋_GB2312" w:eastAsia="仿宋_GB2312"/>
          <w:sz w:val="32"/>
          <w:szCs w:val="32"/>
        </w:rPr>
      </w:pPr>
    </w:p>
    <w:p>
      <w:pPr>
        <w:tabs>
          <w:tab w:val="left" w:pos="2465"/>
        </w:tabs>
        <w:adjustRightInd w:val="0"/>
        <w:snapToGrid w:val="0"/>
        <w:spacing w:line="60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drawing>
          <wp:anchor distT="0" distB="0" distL="114300" distR="114300" simplePos="0" relativeHeight="251661312" behindDoc="1" locked="0" layoutInCell="1" allowOverlap="1">
            <wp:simplePos x="0" y="0"/>
            <wp:positionH relativeFrom="margin">
              <wp:posOffset>3768725</wp:posOffset>
            </wp:positionH>
            <wp:positionV relativeFrom="paragraph">
              <wp:posOffset>92075</wp:posOffset>
            </wp:positionV>
            <wp:extent cx="2113915" cy="31324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3915" cy="3132455"/>
                    </a:xfrm>
                    <a:prstGeom prst="rect">
                      <a:avLst/>
                    </a:prstGeom>
                  </pic:spPr>
                </pic:pic>
              </a:graphicData>
            </a:graphic>
          </wp:anchor>
        </w:drawing>
      </w:r>
      <w:r>
        <w:rPr>
          <w:rFonts w:hint="eastAsia" w:ascii="仿宋_GB2312" w:eastAsia="仿宋_GB2312"/>
          <w:sz w:val="32"/>
          <w:szCs w:val="32"/>
        </w:rPr>
        <w:t>附件：《人文与社会科学学院绩效考核方案（试行）》（修订版）</w:t>
      </w:r>
    </w:p>
    <w:p>
      <w:pPr>
        <w:spacing w:line="600" w:lineRule="exact"/>
        <w:ind w:firstLine="640" w:firstLineChars="200"/>
        <w:jc w:val="center"/>
        <w:rPr>
          <w:rFonts w:ascii="仿宋_GB2312" w:eastAsia="仿宋_GB2312"/>
          <w:sz w:val="32"/>
          <w:szCs w:val="32"/>
        </w:rPr>
      </w:pPr>
    </w:p>
    <w:p>
      <w:pPr>
        <w:spacing w:line="600" w:lineRule="exact"/>
        <w:ind w:firstLine="640" w:firstLineChars="200"/>
        <w:jc w:val="center"/>
        <w:rPr>
          <w:rFonts w:ascii="仿宋_GB2312" w:eastAsia="仿宋_GB2312"/>
          <w:sz w:val="32"/>
          <w:szCs w:val="32"/>
        </w:rPr>
      </w:pPr>
    </w:p>
    <w:p>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人文与社会科学学院</w:t>
      </w:r>
    </w:p>
    <w:p>
      <w:pPr>
        <w:tabs>
          <w:tab w:val="left" w:pos="2465"/>
        </w:tabs>
        <w:adjustRightInd w:val="0"/>
        <w:snapToGrid w:val="0"/>
        <w:spacing w:line="600" w:lineRule="exact"/>
        <w:ind w:right="320"/>
        <w:jc w:val="right"/>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月2</w:t>
      </w:r>
      <w:r>
        <w:rPr>
          <w:rFonts w:ascii="仿宋_GB2312" w:eastAsia="仿宋_GB2312"/>
          <w:sz w:val="32"/>
          <w:szCs w:val="32"/>
        </w:rPr>
        <w:t>1</w:t>
      </w:r>
      <w:r>
        <w:rPr>
          <w:rFonts w:hint="eastAsia" w:ascii="仿宋_GB2312" w:eastAsia="仿宋_GB2312"/>
          <w:sz w:val="32"/>
          <w:szCs w:val="32"/>
        </w:rPr>
        <w:t>日</w:t>
      </w:r>
    </w:p>
    <w:p>
      <w:pPr>
        <w:tabs>
          <w:tab w:val="left" w:pos="2465"/>
        </w:tabs>
        <w:adjustRightInd w:val="0"/>
        <w:snapToGrid w:val="0"/>
        <w:spacing w:line="600" w:lineRule="exact"/>
        <w:ind w:right="320"/>
        <w:jc w:val="right"/>
        <w:rPr>
          <w:rFonts w:ascii="仿宋_GB2312" w:eastAsia="仿宋_GB2312"/>
          <w:sz w:val="32"/>
          <w:szCs w:val="32"/>
        </w:rPr>
      </w:pPr>
    </w:p>
    <w:p>
      <w:pPr>
        <w:snapToGrid w:val="0"/>
        <w:spacing w:line="500" w:lineRule="exact"/>
        <w:rPr>
          <w:rFonts w:ascii="黑体" w:eastAsia="黑体"/>
          <w:sz w:val="32"/>
          <w:szCs w:val="32"/>
        </w:rPr>
      </w:pPr>
      <w:r>
        <w:rPr>
          <w:rFonts w:hint="eastAsia" w:ascii="黑体" w:eastAsia="黑体"/>
          <w:sz w:val="32"/>
          <w:szCs w:val="32"/>
        </w:rPr>
        <w:t>附件：</w:t>
      </w:r>
    </w:p>
    <w:p>
      <w:pPr>
        <w:snapToGrid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人文与社会科学学院绩效考核方案（试行）</w:t>
      </w:r>
    </w:p>
    <w:p>
      <w:pPr>
        <w:snapToGrid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（修订版）</w:t>
      </w:r>
    </w:p>
    <w:p>
      <w:pPr>
        <w:spacing w:line="520" w:lineRule="atLeast"/>
        <w:rPr>
          <w:rFonts w:ascii="仿宋_GB2312" w:hAnsi="宋体" w:eastAsia="仿宋_GB2312" w:cs="仿宋_GB2312"/>
          <w:b/>
          <w:bCs/>
          <w:sz w:val="32"/>
          <w:szCs w:val="32"/>
        </w:rPr>
      </w:pPr>
    </w:p>
    <w:p>
      <w:pPr>
        <w:spacing w:line="520" w:lineRule="atLeast"/>
        <w:rPr>
          <w:rFonts w:ascii="仿宋_GB2312" w:hAnsi="宋体" w:eastAsia="仿宋_GB2312"/>
          <w:b/>
          <w:bCs/>
          <w:sz w:val="32"/>
          <w:szCs w:val="32"/>
        </w:rPr>
      </w:pPr>
      <w:r>
        <w:rPr>
          <w:rFonts w:hint="eastAsia" w:ascii="仿宋_GB2312" w:hAnsi="宋体" w:eastAsia="仿宋_GB2312" w:cs="仿宋_GB2312"/>
          <w:b/>
          <w:bCs/>
          <w:sz w:val="32"/>
          <w:szCs w:val="32"/>
        </w:rPr>
        <w:t>一、指导思想和工作思路</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为进一步完善评价和激励机制，强化岗位意识，突出业绩导向，充分调动广大教职工工作的积极性和创造性，强化岗位管理和绩效考核，建立科学的教师岗位设置与聘任制度，根据学校相关文件和会议精神，结合学院实际，制定本分配方案。</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以学校和学院“十四五”建设规划、“双一流”建设和综合改革为统领，科学设置岗位，合理有效分配资源，鼓励教师积极主动地承担教学、科研、公益等各项工作，根据我院实际情况，在经费总量控制的前提下，按照工作量化、设定基准、超量奖励、科学考核的原则，全面推进学院学科建设、人才培养、科学研究、国际交流等中心工作的全面落实，为学院发展目标的实现提供坚实的支撑。</w:t>
      </w:r>
    </w:p>
    <w:p>
      <w:pPr>
        <w:spacing w:line="520" w:lineRule="atLeast"/>
        <w:rPr>
          <w:rFonts w:ascii="仿宋_GB2312" w:hAnsi="宋体" w:eastAsia="仿宋_GB2312" w:cs="仿宋_GB2312"/>
          <w:b/>
          <w:bCs/>
          <w:sz w:val="32"/>
          <w:szCs w:val="32"/>
        </w:rPr>
      </w:pPr>
      <w:r>
        <w:rPr>
          <w:rFonts w:hint="eastAsia" w:ascii="仿宋_GB2312" w:hAnsi="宋体" w:eastAsia="仿宋_GB2312" w:cs="仿宋_GB2312"/>
          <w:b/>
          <w:bCs/>
          <w:sz w:val="32"/>
          <w:szCs w:val="32"/>
        </w:rPr>
        <w:t>二、绩效分配办法</w:t>
      </w:r>
    </w:p>
    <w:p>
      <w:pPr>
        <w:spacing w:line="520" w:lineRule="atLeast"/>
        <w:rPr>
          <w:rFonts w:ascii="仿宋_GB2312" w:hAnsi="宋体" w:eastAsia="仿宋_GB2312"/>
          <w:sz w:val="32"/>
          <w:szCs w:val="32"/>
        </w:rPr>
      </w:pPr>
      <w:r>
        <w:rPr>
          <w:rFonts w:hint="eastAsia" w:ascii="仿宋_GB2312" w:hAnsi="宋体" w:eastAsia="仿宋_GB2312"/>
          <w:sz w:val="32"/>
          <w:szCs w:val="32"/>
        </w:rPr>
        <w:t>1.岗位绩效分为基础绩效和奖励绩效两部分。</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2.基础绩效按月预发，学院绩效津贴总额的4</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部分根据岗位聘任实施方案规定的发放标准按月预发</w:t>
      </w:r>
      <w:r>
        <w:rPr>
          <w:rFonts w:hint="eastAsia" w:ascii="仿宋_GB2312" w:eastAsia="仿宋_GB2312"/>
          <w:sz w:val="32"/>
          <w:szCs w:val="32"/>
        </w:rPr>
        <w:t>。学院</w:t>
      </w:r>
      <w:r>
        <w:rPr>
          <w:rFonts w:ascii="仿宋_GB2312" w:eastAsia="仿宋_GB2312"/>
          <w:sz w:val="32"/>
          <w:szCs w:val="32"/>
        </w:rPr>
        <w:t>绩效津贴</w:t>
      </w:r>
      <w:r>
        <w:rPr>
          <w:rFonts w:hint="eastAsia" w:ascii="仿宋_GB2312" w:eastAsia="仿宋_GB2312"/>
          <w:sz w:val="32"/>
          <w:szCs w:val="32"/>
        </w:rPr>
        <w:t>总额的6</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部分在年底时根据年度绩效考核情况进行发放</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年度绩效考核</w:t>
      </w:r>
      <w:r>
        <w:rPr>
          <w:rFonts w:ascii="仿宋_GB2312" w:eastAsia="仿宋_GB2312"/>
          <w:sz w:val="32"/>
          <w:szCs w:val="32"/>
        </w:rPr>
        <w:t>合格者，参与</w:t>
      </w:r>
      <w:r>
        <w:rPr>
          <w:rFonts w:hint="eastAsia" w:ascii="仿宋_GB2312" w:eastAsia="仿宋_GB2312"/>
          <w:sz w:val="32"/>
          <w:szCs w:val="32"/>
        </w:rPr>
        <w:t>绩效津贴60</w:t>
      </w:r>
      <w:r>
        <w:rPr>
          <w:rFonts w:ascii="仿宋_GB2312" w:eastAsia="仿宋_GB2312"/>
          <w:sz w:val="32"/>
          <w:szCs w:val="32"/>
        </w:rPr>
        <w:t>%部分</w:t>
      </w:r>
      <w:r>
        <w:rPr>
          <w:rFonts w:hint="eastAsia" w:ascii="仿宋_GB2312" w:eastAsia="仿宋_GB2312"/>
          <w:sz w:val="32"/>
          <w:szCs w:val="32"/>
        </w:rPr>
        <w:t>分配</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年度绩效考核基本</w:t>
      </w:r>
      <w:r>
        <w:rPr>
          <w:rFonts w:ascii="仿宋_GB2312" w:eastAsia="仿宋_GB2312"/>
          <w:sz w:val="32"/>
          <w:szCs w:val="32"/>
        </w:rPr>
        <w:t>合格者，</w:t>
      </w:r>
      <w:r>
        <w:rPr>
          <w:rFonts w:hint="eastAsia" w:ascii="仿宋_GB2312" w:eastAsia="仿宋_GB2312"/>
          <w:sz w:val="32"/>
          <w:szCs w:val="32"/>
        </w:rPr>
        <w:t>不</w:t>
      </w:r>
      <w:r>
        <w:rPr>
          <w:rFonts w:ascii="仿宋_GB2312" w:eastAsia="仿宋_GB2312"/>
          <w:sz w:val="32"/>
          <w:szCs w:val="32"/>
        </w:rPr>
        <w:t>参与</w:t>
      </w:r>
      <w:r>
        <w:rPr>
          <w:rFonts w:hint="eastAsia" w:ascii="仿宋_GB2312" w:eastAsia="仿宋_GB2312"/>
          <w:sz w:val="32"/>
          <w:szCs w:val="32"/>
        </w:rPr>
        <w:t>绩效津贴60</w:t>
      </w:r>
      <w:r>
        <w:rPr>
          <w:rFonts w:ascii="仿宋_GB2312" w:eastAsia="仿宋_GB2312"/>
          <w:sz w:val="32"/>
          <w:szCs w:val="32"/>
        </w:rPr>
        <w:t>%部分</w:t>
      </w:r>
      <w:r>
        <w:rPr>
          <w:rFonts w:hint="eastAsia" w:ascii="仿宋_GB2312" w:eastAsia="仿宋_GB2312"/>
          <w:sz w:val="32"/>
          <w:szCs w:val="32"/>
        </w:rPr>
        <w:t>分配</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年度绩效考核不</w:t>
      </w:r>
      <w:r>
        <w:rPr>
          <w:rFonts w:ascii="仿宋_GB2312" w:eastAsia="仿宋_GB2312"/>
          <w:sz w:val="32"/>
          <w:szCs w:val="32"/>
        </w:rPr>
        <w:t>合格者，</w:t>
      </w:r>
      <w:r>
        <w:rPr>
          <w:rFonts w:hint="eastAsia" w:ascii="仿宋_GB2312" w:eastAsia="仿宋_GB2312"/>
          <w:sz w:val="32"/>
          <w:szCs w:val="32"/>
        </w:rPr>
        <w:t>不</w:t>
      </w:r>
      <w:r>
        <w:rPr>
          <w:rFonts w:ascii="仿宋_GB2312" w:eastAsia="仿宋_GB2312"/>
          <w:sz w:val="32"/>
          <w:szCs w:val="32"/>
        </w:rPr>
        <w:t>参与</w:t>
      </w:r>
      <w:r>
        <w:rPr>
          <w:rFonts w:hint="eastAsia" w:ascii="仿宋_GB2312" w:eastAsia="仿宋_GB2312"/>
          <w:sz w:val="32"/>
          <w:szCs w:val="32"/>
        </w:rPr>
        <w:t>绩效津贴60</w:t>
      </w:r>
      <w:r>
        <w:rPr>
          <w:rFonts w:ascii="仿宋_GB2312" w:eastAsia="仿宋_GB2312"/>
          <w:sz w:val="32"/>
          <w:szCs w:val="32"/>
        </w:rPr>
        <w:t>%部分</w:t>
      </w:r>
      <w:r>
        <w:rPr>
          <w:rFonts w:hint="eastAsia" w:ascii="仿宋_GB2312" w:eastAsia="仿宋_GB2312"/>
          <w:sz w:val="32"/>
          <w:szCs w:val="32"/>
        </w:rPr>
        <w:t>分配，</w:t>
      </w:r>
      <w:r>
        <w:rPr>
          <w:rFonts w:ascii="仿宋_GB2312" w:eastAsia="仿宋_GB2312"/>
          <w:sz w:val="32"/>
          <w:szCs w:val="32"/>
        </w:rPr>
        <w:t>预发的绩效津贴</w:t>
      </w:r>
      <w:r>
        <w:rPr>
          <w:rFonts w:hint="eastAsia" w:ascii="仿宋_GB2312" w:eastAsia="仿宋_GB2312"/>
          <w:sz w:val="32"/>
          <w:szCs w:val="32"/>
        </w:rPr>
        <w:t>40</w:t>
      </w:r>
      <w:r>
        <w:rPr>
          <w:rFonts w:ascii="仿宋_GB2312" w:eastAsia="仿宋_GB2312"/>
          <w:sz w:val="32"/>
          <w:szCs w:val="32"/>
        </w:rPr>
        <w:t>%部分从下一年度绩效津贴中扣回。</w:t>
      </w:r>
    </w:p>
    <w:p>
      <w:pPr>
        <w:spacing w:line="520" w:lineRule="atLeast"/>
        <w:rPr>
          <w:rFonts w:ascii="仿宋_GB2312" w:hAnsi="宋体" w:eastAsia="仿宋_GB2312" w:cs="仿宋_GB2312"/>
          <w:b/>
          <w:bCs/>
          <w:sz w:val="32"/>
          <w:szCs w:val="32"/>
        </w:rPr>
      </w:pPr>
      <w:r>
        <w:rPr>
          <w:rFonts w:hint="eastAsia" w:ascii="仿宋_GB2312" w:hAnsi="宋体" w:eastAsia="仿宋_GB2312" w:cs="仿宋_GB2312"/>
          <w:b/>
          <w:bCs/>
          <w:sz w:val="32"/>
          <w:szCs w:val="32"/>
        </w:rPr>
        <w:t>三、组织</w:t>
      </w:r>
    </w:p>
    <w:p>
      <w:pPr>
        <w:spacing w:line="520" w:lineRule="atLeast"/>
        <w:rPr>
          <w:rFonts w:ascii="仿宋_GB2312" w:hAnsi="宋体" w:eastAsia="仿宋_GB2312" w:cs="仿宋_GB2312"/>
          <w:b/>
          <w:bCs/>
          <w:sz w:val="32"/>
          <w:szCs w:val="32"/>
        </w:rPr>
      </w:pPr>
      <w:r>
        <w:rPr>
          <w:rFonts w:hint="eastAsia" w:ascii="仿宋_GB2312" w:hAnsi="宋体" w:eastAsia="仿宋_GB2312" w:cs="仿宋_GB2312"/>
          <w:b/>
          <w:bCs/>
          <w:sz w:val="32"/>
          <w:szCs w:val="32"/>
        </w:rPr>
        <w:t xml:space="preserve">   </w:t>
      </w:r>
      <w:r>
        <w:rPr>
          <w:rFonts w:hint="eastAsia" w:ascii="仿宋_GB2312" w:hAnsi="宋体" w:eastAsia="仿宋_GB2312"/>
          <w:sz w:val="32"/>
          <w:szCs w:val="32"/>
        </w:rPr>
        <w:t xml:space="preserve"> 学院成立绩效考核领导、工作、监督小组，教职工根据所在岗位及相应考核要求，进行自评，系和工作小组核实教职工个人绩效总分值并报领导小组，经领导小组确认后，在学院公告栏公示考核结果，根据公示后的考核结果兑现绩效津贴。</w:t>
      </w:r>
    </w:p>
    <w:p>
      <w:pPr>
        <w:spacing w:line="520" w:lineRule="atLeast"/>
        <w:rPr>
          <w:rFonts w:ascii="仿宋_GB2312" w:hAnsi="宋体" w:eastAsia="仿宋_GB2312" w:cs="仿宋_GB2312"/>
          <w:b/>
          <w:bCs/>
          <w:sz w:val="32"/>
          <w:szCs w:val="32"/>
        </w:rPr>
      </w:pPr>
      <w:r>
        <w:rPr>
          <w:rFonts w:hint="eastAsia" w:ascii="仿宋_GB2312" w:hAnsi="宋体" w:eastAsia="仿宋_GB2312" w:cs="仿宋_GB2312"/>
          <w:b/>
          <w:bCs/>
          <w:sz w:val="32"/>
          <w:szCs w:val="32"/>
        </w:rPr>
        <w:t>四、绩效考核标准</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（一）教师年度教学、科研工作量采用计分制，各项工作分值如下：</w:t>
      </w:r>
    </w:p>
    <w:p>
      <w:pPr>
        <w:numPr>
          <w:ilvl w:val="0"/>
          <w:numId w:val="1"/>
        </w:numPr>
        <w:spacing w:line="520" w:lineRule="atLeast"/>
        <w:rPr>
          <w:rFonts w:ascii="仿宋_GB2312" w:hAnsi="宋体" w:eastAsia="仿宋_GB2312"/>
          <w:sz w:val="32"/>
          <w:szCs w:val="32"/>
        </w:rPr>
      </w:pPr>
      <w:r>
        <w:rPr>
          <w:rFonts w:hint="eastAsia" w:ascii="仿宋_GB2312" w:hAnsi="宋体" w:eastAsia="仿宋_GB2312"/>
          <w:sz w:val="32"/>
          <w:szCs w:val="32"/>
        </w:rPr>
        <w:t>教师年度考核合格分值为：教授300分，副教授280分，讲师260分。</w:t>
      </w:r>
    </w:p>
    <w:p>
      <w:pPr>
        <w:spacing w:line="520" w:lineRule="atLeast"/>
        <w:ind w:left="1000"/>
        <w:rPr>
          <w:rFonts w:ascii="仿宋_GB2312" w:hAnsi="宋体" w:eastAsia="仿宋_GB2312"/>
          <w:sz w:val="32"/>
          <w:szCs w:val="32"/>
        </w:rPr>
      </w:pPr>
      <w:r>
        <w:rPr>
          <w:rFonts w:hint="eastAsia" w:ascii="仿宋_GB2312" w:hAnsi="宋体" w:eastAsia="仿宋_GB2312"/>
          <w:sz w:val="32"/>
          <w:szCs w:val="32"/>
        </w:rPr>
        <w:t>教学科研型岗位的年度考核分值中，教学分值须占30%及以上，科研工作量分值正高至少20分，副高至少1</w:t>
      </w:r>
      <w:r>
        <w:rPr>
          <w:rFonts w:ascii="仿宋_GB2312" w:hAnsi="宋体" w:eastAsia="仿宋_GB2312"/>
          <w:sz w:val="32"/>
          <w:szCs w:val="32"/>
        </w:rPr>
        <w:t>0分</w:t>
      </w:r>
      <w:r>
        <w:rPr>
          <w:rFonts w:hint="eastAsia" w:ascii="仿宋_GB2312" w:hAnsi="宋体" w:eastAsia="仿宋_GB2312"/>
          <w:sz w:val="32"/>
          <w:szCs w:val="32"/>
        </w:rPr>
        <w:t>，</w:t>
      </w:r>
      <w:r>
        <w:rPr>
          <w:rFonts w:ascii="仿宋_GB2312" w:hAnsi="宋体" w:eastAsia="仿宋_GB2312"/>
          <w:sz w:val="32"/>
          <w:szCs w:val="32"/>
        </w:rPr>
        <w:t>讲师至少</w:t>
      </w:r>
      <w:r>
        <w:rPr>
          <w:rFonts w:hint="eastAsia" w:ascii="仿宋_GB2312" w:hAnsi="宋体" w:eastAsia="仿宋_GB2312"/>
          <w:sz w:val="32"/>
          <w:szCs w:val="32"/>
        </w:rPr>
        <w:t>5分；教学为主型岗位的年度考核分值中，教学分值须占90%及以上。</w:t>
      </w:r>
    </w:p>
    <w:p>
      <w:pPr>
        <w:numPr>
          <w:ilvl w:val="0"/>
          <w:numId w:val="1"/>
        </w:numPr>
        <w:spacing w:line="520" w:lineRule="atLeast"/>
        <w:rPr>
          <w:rFonts w:ascii="仿宋_GB2312" w:hAnsi="宋体" w:eastAsia="仿宋_GB2312"/>
          <w:sz w:val="32"/>
          <w:szCs w:val="32"/>
        </w:rPr>
      </w:pPr>
      <w:r>
        <w:rPr>
          <w:rFonts w:hint="eastAsia" w:ascii="仿宋_GB2312" w:hAnsi="宋体" w:eastAsia="仿宋_GB2312"/>
          <w:sz w:val="32"/>
          <w:szCs w:val="32"/>
        </w:rPr>
        <w:t>教师年度考核基本合格分值为：教授280分，副教授260分，讲师240分。</w:t>
      </w:r>
    </w:p>
    <w:p>
      <w:pPr>
        <w:spacing w:line="520" w:lineRule="atLeast"/>
        <w:ind w:left="1000"/>
        <w:rPr>
          <w:rFonts w:ascii="仿宋_GB2312" w:hAnsi="宋体" w:eastAsia="仿宋_GB2312"/>
          <w:sz w:val="32"/>
          <w:szCs w:val="32"/>
        </w:rPr>
      </w:pPr>
      <w:r>
        <w:rPr>
          <w:rFonts w:hint="eastAsia" w:ascii="仿宋_GB2312" w:hAnsi="宋体" w:eastAsia="仿宋_GB2312"/>
          <w:sz w:val="32"/>
          <w:szCs w:val="32"/>
        </w:rPr>
        <w:t>教学科研型岗位的年度考核分值中，教学分值须占30%及以上，科研工作量分值正高至少10分，副高至少5分，讲师至少3分；教学为主型岗位的年度考核分值中，教学分值须占80%及以上。</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3．教师个人全年教学总分值为表一中三项之和。</w:t>
      </w:r>
    </w:p>
    <w:p>
      <w:pPr>
        <w:snapToGrid w:val="0"/>
        <w:spacing w:line="500" w:lineRule="exact"/>
        <w:ind w:firstLine="480" w:firstLineChars="200"/>
        <w:jc w:val="center"/>
        <w:rPr>
          <w:rFonts w:ascii="仿宋_GB2312" w:eastAsia="仿宋_GB2312"/>
          <w:sz w:val="24"/>
        </w:rPr>
      </w:pPr>
      <w:r>
        <w:rPr>
          <w:rFonts w:hint="eastAsia" w:ascii="仿宋_GB2312" w:eastAsia="仿宋_GB2312"/>
          <w:sz w:val="24"/>
        </w:rPr>
        <w:t>表一.教师个人全年教学总分值组成</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5223"/>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6" w:type="pct"/>
            <w:vAlign w:val="center"/>
          </w:tcPr>
          <w:p>
            <w:pPr>
              <w:snapToGrid w:val="0"/>
              <w:spacing w:line="500" w:lineRule="exact"/>
              <w:jc w:val="center"/>
              <w:rPr>
                <w:rFonts w:ascii="仿宋_GB2312" w:eastAsia="仿宋_GB2312"/>
                <w:sz w:val="24"/>
              </w:rPr>
            </w:pPr>
            <w:r>
              <w:rPr>
                <w:rFonts w:hint="eastAsia" w:ascii="仿宋_GB2312" w:eastAsia="仿宋_GB2312"/>
                <w:sz w:val="24"/>
              </w:rPr>
              <w:t>序号</w:t>
            </w:r>
          </w:p>
        </w:tc>
        <w:tc>
          <w:tcPr>
            <w:tcW w:w="2778" w:type="pct"/>
            <w:vAlign w:val="center"/>
          </w:tcPr>
          <w:p>
            <w:pPr>
              <w:snapToGrid w:val="0"/>
              <w:spacing w:line="500" w:lineRule="exact"/>
              <w:ind w:firstLine="480" w:firstLineChars="200"/>
              <w:jc w:val="center"/>
              <w:rPr>
                <w:rFonts w:ascii="仿宋_GB2312" w:eastAsia="仿宋_GB2312"/>
                <w:sz w:val="24"/>
              </w:rPr>
            </w:pPr>
            <w:r>
              <w:rPr>
                <w:rFonts w:hint="eastAsia" w:ascii="仿宋_GB2312" w:eastAsia="仿宋_GB2312"/>
                <w:sz w:val="24"/>
              </w:rPr>
              <w:t>内    容</w:t>
            </w:r>
          </w:p>
        </w:tc>
        <w:tc>
          <w:tcPr>
            <w:tcW w:w="1666" w:type="pct"/>
            <w:vAlign w:val="center"/>
          </w:tcPr>
          <w:p>
            <w:pPr>
              <w:snapToGrid w:val="0"/>
              <w:spacing w:line="500" w:lineRule="exact"/>
              <w:ind w:firstLine="480" w:firstLineChars="200"/>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6" w:type="pct"/>
            <w:vAlign w:val="center"/>
          </w:tcPr>
          <w:p>
            <w:pPr>
              <w:snapToGrid w:val="0"/>
              <w:spacing w:line="500" w:lineRule="exact"/>
              <w:jc w:val="center"/>
              <w:rPr>
                <w:rFonts w:ascii="仿宋_GB2312" w:eastAsia="仿宋_GB2312"/>
                <w:sz w:val="24"/>
              </w:rPr>
            </w:pPr>
            <w:r>
              <w:rPr>
                <w:rFonts w:hint="eastAsia" w:ascii="仿宋_GB2312" w:eastAsia="仿宋_GB2312"/>
                <w:sz w:val="24"/>
              </w:rPr>
              <w:t>1</w:t>
            </w:r>
          </w:p>
        </w:tc>
        <w:tc>
          <w:tcPr>
            <w:tcW w:w="2778" w:type="pct"/>
            <w:vAlign w:val="center"/>
          </w:tcPr>
          <w:p>
            <w:pPr>
              <w:snapToGrid w:val="0"/>
              <w:spacing w:line="500" w:lineRule="exact"/>
              <w:jc w:val="center"/>
              <w:rPr>
                <w:rFonts w:ascii="仿宋_GB2312" w:eastAsia="仿宋_GB2312"/>
                <w:sz w:val="24"/>
              </w:rPr>
            </w:pPr>
            <w:r>
              <w:rPr>
                <w:rFonts w:hint="eastAsia" w:ascii="仿宋_GB2312" w:eastAsia="仿宋_GB2312"/>
                <w:sz w:val="24"/>
              </w:rPr>
              <w:t>课堂教学标准课时数（每课时计1分）</w:t>
            </w:r>
          </w:p>
        </w:tc>
        <w:tc>
          <w:tcPr>
            <w:tcW w:w="1666" w:type="pct"/>
            <w:vAlign w:val="center"/>
          </w:tcPr>
          <w:p>
            <w:pPr>
              <w:snapToGrid w:val="0"/>
              <w:spacing w:line="500" w:lineRule="exact"/>
              <w:ind w:firstLine="480" w:firstLineChars="200"/>
              <w:jc w:val="center"/>
              <w:rPr>
                <w:rFonts w:ascii="仿宋_GB2312" w:eastAsia="仿宋_GB2312"/>
                <w:sz w:val="24"/>
              </w:rPr>
            </w:pPr>
            <w:r>
              <w:rPr>
                <w:rFonts w:hint="eastAsia" w:ascii="仿宋_GB2312" w:eastAsia="仿宋_GB2312"/>
                <w:sz w:val="24"/>
              </w:rPr>
              <w:t>见：五（一）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6" w:type="pct"/>
            <w:vAlign w:val="center"/>
          </w:tcPr>
          <w:p>
            <w:pPr>
              <w:snapToGrid w:val="0"/>
              <w:spacing w:line="500" w:lineRule="exact"/>
              <w:jc w:val="center"/>
              <w:rPr>
                <w:rFonts w:ascii="仿宋_GB2312" w:eastAsia="仿宋_GB2312"/>
                <w:sz w:val="24"/>
              </w:rPr>
            </w:pPr>
            <w:r>
              <w:rPr>
                <w:rFonts w:hint="eastAsia" w:ascii="仿宋_GB2312" w:eastAsia="仿宋_GB2312"/>
                <w:sz w:val="24"/>
              </w:rPr>
              <w:t>2</w:t>
            </w:r>
          </w:p>
        </w:tc>
        <w:tc>
          <w:tcPr>
            <w:tcW w:w="2778" w:type="pct"/>
            <w:vAlign w:val="center"/>
          </w:tcPr>
          <w:p>
            <w:pPr>
              <w:snapToGrid w:val="0"/>
              <w:spacing w:line="500" w:lineRule="exact"/>
              <w:jc w:val="center"/>
              <w:rPr>
                <w:rFonts w:ascii="仿宋_GB2312" w:eastAsia="仿宋_GB2312"/>
                <w:sz w:val="24"/>
              </w:rPr>
            </w:pPr>
            <w:r>
              <w:rPr>
                <w:rFonts w:hint="eastAsia" w:ascii="仿宋_GB2312" w:eastAsia="仿宋_GB2312"/>
                <w:sz w:val="24"/>
              </w:rPr>
              <w:t>指导硕士生、本科生毕业实习和毕业生论文分值</w:t>
            </w:r>
          </w:p>
        </w:tc>
        <w:tc>
          <w:tcPr>
            <w:tcW w:w="1666" w:type="pct"/>
            <w:vAlign w:val="center"/>
          </w:tcPr>
          <w:p>
            <w:pPr>
              <w:snapToGrid w:val="0"/>
              <w:spacing w:line="500" w:lineRule="exact"/>
              <w:ind w:firstLine="480" w:firstLineChars="200"/>
              <w:jc w:val="center"/>
              <w:rPr>
                <w:rFonts w:ascii="仿宋_GB2312" w:eastAsia="仿宋_GB2312"/>
                <w:sz w:val="24"/>
              </w:rPr>
            </w:pPr>
            <w:r>
              <w:rPr>
                <w:rFonts w:hint="eastAsia" w:ascii="仿宋_GB2312" w:eastAsia="仿宋_GB2312"/>
                <w:sz w:val="24"/>
              </w:rPr>
              <w:t>见：五（二）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6" w:type="pct"/>
            <w:vAlign w:val="center"/>
          </w:tcPr>
          <w:p>
            <w:pPr>
              <w:snapToGrid w:val="0"/>
              <w:spacing w:line="500" w:lineRule="exact"/>
              <w:jc w:val="center"/>
              <w:rPr>
                <w:rFonts w:ascii="仿宋_GB2312" w:eastAsia="仿宋_GB2312"/>
                <w:sz w:val="24"/>
              </w:rPr>
            </w:pPr>
            <w:r>
              <w:rPr>
                <w:rFonts w:hint="eastAsia" w:ascii="仿宋_GB2312" w:eastAsia="仿宋_GB2312"/>
                <w:sz w:val="24"/>
              </w:rPr>
              <w:t>3</w:t>
            </w:r>
          </w:p>
        </w:tc>
        <w:tc>
          <w:tcPr>
            <w:tcW w:w="2778" w:type="pct"/>
            <w:vAlign w:val="center"/>
          </w:tcPr>
          <w:p>
            <w:pPr>
              <w:snapToGrid w:val="0"/>
              <w:spacing w:line="500" w:lineRule="exact"/>
              <w:ind w:firstLine="480" w:firstLineChars="200"/>
              <w:jc w:val="center"/>
              <w:rPr>
                <w:rFonts w:ascii="仿宋_GB2312" w:eastAsia="仿宋_GB2312"/>
                <w:sz w:val="24"/>
              </w:rPr>
            </w:pPr>
            <w:r>
              <w:rPr>
                <w:rFonts w:hint="eastAsia" w:ascii="仿宋_GB2312" w:eastAsia="仿宋_GB2312"/>
                <w:sz w:val="24"/>
              </w:rPr>
              <w:t>相关分值补贴</w:t>
            </w:r>
          </w:p>
        </w:tc>
        <w:tc>
          <w:tcPr>
            <w:tcW w:w="1666" w:type="pct"/>
            <w:vAlign w:val="center"/>
          </w:tcPr>
          <w:p>
            <w:pPr>
              <w:snapToGrid w:val="0"/>
              <w:spacing w:line="500" w:lineRule="exact"/>
              <w:ind w:firstLine="480" w:firstLineChars="200"/>
              <w:jc w:val="center"/>
              <w:rPr>
                <w:rFonts w:ascii="仿宋_GB2312" w:eastAsia="仿宋_GB2312"/>
                <w:sz w:val="24"/>
              </w:rPr>
            </w:pPr>
            <w:r>
              <w:rPr>
                <w:rFonts w:hint="eastAsia" w:ascii="仿宋_GB2312" w:eastAsia="仿宋_GB2312"/>
                <w:sz w:val="24"/>
              </w:rPr>
              <w:t>见：五（三）</w:t>
            </w:r>
          </w:p>
        </w:tc>
      </w:tr>
    </w:tbl>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（二）学院机关管理人员，以测评成绩进行考核。测评成绩由院领导（占4</w:t>
      </w:r>
      <w:r>
        <w:rPr>
          <w:rFonts w:ascii="仿宋_GB2312" w:hAnsi="宋体" w:eastAsia="仿宋_GB2312"/>
          <w:sz w:val="32"/>
          <w:szCs w:val="32"/>
        </w:rPr>
        <w:t>0</w:t>
      </w:r>
      <w:r>
        <w:rPr>
          <w:rFonts w:hint="eastAsia" w:ascii="仿宋_GB2312" w:hAnsi="宋体" w:eastAsia="仿宋_GB2312"/>
          <w:sz w:val="32"/>
          <w:szCs w:val="32"/>
        </w:rPr>
        <w:t>%）、学院教师（占3</w:t>
      </w:r>
      <w:r>
        <w:rPr>
          <w:rFonts w:ascii="仿宋_GB2312" w:hAnsi="宋体" w:eastAsia="仿宋_GB2312"/>
          <w:sz w:val="32"/>
          <w:szCs w:val="32"/>
        </w:rPr>
        <w:t>0</w:t>
      </w:r>
      <w:r>
        <w:rPr>
          <w:rFonts w:hint="eastAsia" w:ascii="仿宋_GB2312" w:hAnsi="宋体" w:eastAsia="仿宋_GB2312"/>
          <w:sz w:val="32"/>
          <w:szCs w:val="32"/>
        </w:rPr>
        <w:t>%）、机关内部（占3</w:t>
      </w:r>
      <w:r>
        <w:rPr>
          <w:rFonts w:ascii="仿宋_GB2312" w:hAnsi="宋体" w:eastAsia="仿宋_GB2312"/>
          <w:sz w:val="32"/>
          <w:szCs w:val="32"/>
        </w:rPr>
        <w:t>0</w:t>
      </w:r>
      <w:r>
        <w:rPr>
          <w:rFonts w:hint="eastAsia" w:ascii="仿宋_GB2312" w:hAnsi="宋体" w:eastAsia="仿宋_GB2312"/>
          <w:sz w:val="32"/>
          <w:szCs w:val="32"/>
        </w:rPr>
        <w:t>%）测评成绩构成。其中，学院教师测评由系组织，参加人数不少于本系教师人数的3</w:t>
      </w:r>
      <w:r>
        <w:rPr>
          <w:rFonts w:ascii="仿宋_GB2312" w:hAnsi="宋体" w:eastAsia="仿宋_GB2312"/>
          <w:sz w:val="32"/>
          <w:szCs w:val="32"/>
        </w:rPr>
        <w:t>/4</w:t>
      </w:r>
      <w:r>
        <w:rPr>
          <w:rFonts w:hint="eastAsia" w:ascii="仿宋_GB2312" w:hAnsi="宋体" w:eastAsia="仿宋_GB2312"/>
          <w:sz w:val="32"/>
          <w:szCs w:val="32"/>
        </w:rPr>
        <w:t>。</w:t>
      </w:r>
      <w:r>
        <w:rPr>
          <w:rFonts w:ascii="仿宋_GB2312" w:hAnsi="宋体" w:eastAsia="仿宋_GB2312"/>
          <w:sz w:val="32"/>
          <w:szCs w:val="32"/>
        </w:rPr>
        <w:t>同时</w:t>
      </w:r>
      <w:r>
        <w:rPr>
          <w:rFonts w:hint="eastAsia" w:ascii="仿宋_GB2312" w:hAnsi="宋体" w:eastAsia="仿宋_GB2312"/>
          <w:sz w:val="32"/>
          <w:szCs w:val="32"/>
        </w:rPr>
        <w:t>，</w:t>
      </w:r>
      <w:r>
        <w:rPr>
          <w:rFonts w:ascii="仿宋_GB2312" w:hAnsi="宋体" w:eastAsia="仿宋_GB2312"/>
          <w:sz w:val="32"/>
          <w:szCs w:val="32"/>
        </w:rPr>
        <w:t>由分管学生工作院领导牵头</w:t>
      </w:r>
      <w:r>
        <w:rPr>
          <w:rFonts w:hint="eastAsia" w:ascii="仿宋_GB2312" w:hAnsi="宋体" w:eastAsia="仿宋_GB2312"/>
          <w:sz w:val="32"/>
          <w:szCs w:val="32"/>
        </w:rPr>
        <w:t>，</w:t>
      </w:r>
      <w:r>
        <w:rPr>
          <w:rFonts w:ascii="仿宋_GB2312" w:hAnsi="宋体" w:eastAsia="仿宋_GB2312"/>
          <w:sz w:val="32"/>
          <w:szCs w:val="32"/>
        </w:rPr>
        <w:t>通过组织学生座谈</w:t>
      </w:r>
      <w:r>
        <w:rPr>
          <w:rFonts w:hint="eastAsia" w:ascii="仿宋_GB2312" w:hAnsi="宋体" w:eastAsia="仿宋_GB2312"/>
          <w:sz w:val="32"/>
          <w:szCs w:val="32"/>
        </w:rPr>
        <w:t>、</w:t>
      </w:r>
      <w:r>
        <w:rPr>
          <w:rFonts w:ascii="仿宋_GB2312" w:hAnsi="宋体" w:eastAsia="仿宋_GB2312"/>
          <w:sz w:val="32"/>
          <w:szCs w:val="32"/>
        </w:rPr>
        <w:t>测评等途径听取对机关工作的意见建议</w:t>
      </w:r>
      <w:r>
        <w:rPr>
          <w:rFonts w:hint="eastAsia" w:ascii="仿宋_GB2312" w:hAnsi="宋体" w:eastAsia="仿宋_GB2312"/>
          <w:sz w:val="32"/>
          <w:szCs w:val="32"/>
        </w:rPr>
        <w:t>，</w:t>
      </w:r>
      <w:r>
        <w:rPr>
          <w:rFonts w:ascii="仿宋_GB2312" w:hAnsi="宋体" w:eastAsia="仿宋_GB2312"/>
          <w:sz w:val="32"/>
          <w:szCs w:val="32"/>
        </w:rPr>
        <w:t>作为测评结果的重要参考</w:t>
      </w:r>
      <w:r>
        <w:rPr>
          <w:rFonts w:hint="eastAsia" w:ascii="仿宋_GB2312" w:hAnsi="宋体" w:eastAsia="仿宋_GB2312"/>
          <w:sz w:val="32"/>
          <w:szCs w:val="32"/>
        </w:rPr>
        <w:t>。</w:t>
      </w:r>
    </w:p>
    <w:p>
      <w:pPr>
        <w:spacing w:line="520" w:lineRule="atLeast"/>
        <w:ind w:firstLine="640" w:firstLineChars="200"/>
        <w:rPr>
          <w:rFonts w:ascii="仿宋_GB2312" w:hAnsi="宋体" w:eastAsia="仿宋_GB2312" w:cs="仿宋_GB2312"/>
          <w:b/>
          <w:bCs/>
          <w:sz w:val="32"/>
          <w:szCs w:val="32"/>
        </w:rPr>
      </w:pPr>
      <w:r>
        <w:rPr>
          <w:rFonts w:hint="eastAsia" w:ascii="仿宋_GB2312" w:hAnsi="宋体" w:eastAsia="仿宋_GB2312"/>
          <w:sz w:val="32"/>
          <w:szCs w:val="32"/>
        </w:rPr>
        <w:t>测评全面考核德、能、勤、绩、廉等情况的基础上，重点考核服务水平和工作实效，重大失职、师德师风作为一票否决项。考核结果与绩效奖励直接挂钩，并作为评先评优等激励措施的重要参考。</w:t>
      </w:r>
    </w:p>
    <w:p>
      <w:pPr>
        <w:spacing w:line="520" w:lineRule="atLeast"/>
        <w:rPr>
          <w:rFonts w:ascii="仿宋_GB2312" w:hAnsi="宋体" w:eastAsia="仿宋_GB2312" w:cs="仿宋_GB2312"/>
          <w:b/>
          <w:bCs/>
          <w:sz w:val="32"/>
          <w:szCs w:val="32"/>
        </w:rPr>
      </w:pPr>
      <w:r>
        <w:rPr>
          <w:rFonts w:hint="eastAsia" w:ascii="仿宋_GB2312" w:hAnsi="宋体" w:eastAsia="仿宋_GB2312" w:cs="仿宋_GB2312"/>
          <w:b/>
          <w:bCs/>
          <w:sz w:val="32"/>
          <w:szCs w:val="32"/>
        </w:rPr>
        <w:t>五．教学工作分值计算办法</w:t>
      </w:r>
    </w:p>
    <w:p>
      <w:pPr>
        <w:spacing w:line="520" w:lineRule="atLeast"/>
        <w:ind w:firstLine="643" w:firstLineChars="200"/>
        <w:rPr>
          <w:rFonts w:ascii="仿宋_GB2312" w:hAnsi="宋体" w:eastAsia="仿宋_GB2312"/>
          <w:b/>
          <w:sz w:val="32"/>
          <w:szCs w:val="32"/>
        </w:rPr>
      </w:pPr>
      <w:r>
        <w:rPr>
          <w:rFonts w:hint="eastAsia" w:ascii="仿宋_GB2312" w:hAnsi="宋体" w:eastAsia="仿宋_GB2312"/>
          <w:b/>
          <w:sz w:val="32"/>
          <w:szCs w:val="32"/>
        </w:rPr>
        <w:t>（一）课堂教学标准课时数确定</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某门课的课堂教学标准课时数 =教学计划规定的课时数×大小班系数×开新课（或新开课）系数×课程系数。</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1.课程大小班系数</w:t>
      </w:r>
      <w:r>
        <w:rPr>
          <w:rFonts w:hint="eastAsia" w:ascii="仿宋_GB2312" w:hAnsi="宋体" w:eastAsia="仿宋_GB2312"/>
          <w:sz w:val="32"/>
          <w:szCs w:val="32"/>
        </w:rPr>
        <w:object>
          <v:shape id="_x0000_i1025" o:spt="75" type="#_x0000_t75" style="height:14.25pt;width:9.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ascii="仿宋_GB2312" w:hAnsi="宋体" w:eastAsia="仿宋_GB2312"/>
          <w:sz w:val="32"/>
          <w:szCs w:val="32"/>
        </w:rPr>
        <w:t>的计算</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设某教学班的人数为n，根据上课学生数和课程的不同，</w:t>
      </w:r>
      <w:r>
        <w:rPr>
          <w:rFonts w:hint="eastAsia" w:ascii="仿宋_GB2312" w:hAnsi="宋体" w:eastAsia="仿宋_GB2312"/>
          <w:sz w:val="32"/>
          <w:szCs w:val="32"/>
        </w:rPr>
        <w:object>
          <v:shape id="_x0000_i1026" o:spt="75" type="#_x0000_t75" style="height:14.25pt;width:9.7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仿宋_GB2312" w:hAnsi="宋体" w:eastAsia="仿宋_GB2312"/>
          <w:sz w:val="32"/>
          <w:szCs w:val="32"/>
        </w:rPr>
        <w:t xml:space="preserve">的计算公式如下： </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61595</wp:posOffset>
                </wp:positionV>
                <wp:extent cx="228600" cy="885825"/>
                <wp:effectExtent l="13335" t="12065" r="5715" b="6985"/>
                <wp:wrapNone/>
                <wp:docPr id="1" name="左大括号 1"/>
                <wp:cNvGraphicFramePr/>
                <a:graphic xmlns:a="http://schemas.openxmlformats.org/drawingml/2006/main">
                  <a:graphicData uri="http://schemas.microsoft.com/office/word/2010/wordprocessingShape">
                    <wps:wsp>
                      <wps:cNvSpPr/>
                      <wps:spPr bwMode="auto">
                        <a:xfrm>
                          <a:off x="0" y="0"/>
                          <a:ext cx="228600" cy="885825"/>
                        </a:xfrm>
                        <a:prstGeom prst="leftBrace">
                          <a:avLst>
                            <a:gd name="adj1" fmla="val 32292"/>
                            <a:gd name="adj2" fmla="val 50000"/>
                          </a:avLst>
                        </a:prstGeom>
                        <a:no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9pt;margin-top:4.85pt;height:69.75pt;width:18pt;z-index:251659264;mso-width-relative:page;mso-height-relative:page;" filled="f" stroked="t" coordsize="21600,21600" o:gfxdata="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fE2dcAAAAHAQAADwAAAAAAAAABACAAAAAiAAAA&#10;ZHJzL2Rvd25yZXYueG1sUEsBAhQAFAAAAAgAh07iQDgyD75BAgAAbwQAAA4AAAAAAAAAAQAgAAAA&#10;JgEAAGRycy9lMm9Eb2MueG1sUEsFBgAAAAAGAAYAWQEAANkFAAAAAA==&#10;" adj="1800,10800">
                <v:fill on="f" focussize="0,0"/>
                <v:stroke color="#000000" joinstyle="round"/>
                <v:imagedata o:title=""/>
                <o:lock v:ext="edit" aspectratio="f"/>
                <v:textbox>
                  <w:txbxContent>
                    <w:p>
                      <w:pPr>
                        <w:jc w:val="center"/>
                      </w:pPr>
                    </w:p>
                  </w:txbxContent>
                </v:textbox>
              </v:shape>
            </w:pict>
          </mc:Fallback>
        </mc:AlternateContent>
      </w:r>
      <w:r>
        <w:rPr>
          <w:rFonts w:hint="eastAsia" w:ascii="仿宋_GB2312" w:hAnsi="宋体" w:eastAsia="仿宋_GB2312"/>
          <w:sz w:val="32"/>
          <w:szCs w:val="32"/>
        </w:rPr>
        <w:t>当</w:t>
      </w:r>
      <w:r>
        <w:rPr>
          <w:rFonts w:hint="eastAsia" w:ascii="仿宋_GB2312" w:hAnsi="宋体" w:eastAsia="仿宋_GB2312"/>
          <w:sz w:val="32"/>
          <w:szCs w:val="32"/>
        </w:rPr>
        <w:object>
          <v:shape id="_x0000_i1027" o:spt="75" type="#_x0000_t75" style="height:18.75pt;width:33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仿宋_GB2312" w:hAnsi="宋体" w:eastAsia="仿宋_GB2312"/>
          <w:sz w:val="32"/>
          <w:szCs w:val="32"/>
        </w:rPr>
        <w:t>时，</w:t>
      </w:r>
      <w:r>
        <w:rPr>
          <w:rFonts w:hint="eastAsia" w:ascii="仿宋_GB2312" w:hAnsi="宋体" w:eastAsia="仿宋_GB2312"/>
          <w:sz w:val="32"/>
          <w:szCs w:val="32"/>
        </w:rPr>
        <w:object>
          <v:shape id="_x0000_i1028" o:spt="75" type="#_x0000_t75" style="height:14.25pt;width:9.7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ascii="仿宋_GB2312" w:hAnsi="宋体" w:eastAsia="仿宋_GB2312"/>
          <w:sz w:val="32"/>
          <w:szCs w:val="32"/>
        </w:rPr>
        <w:t>=1；</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当</w:t>
      </w:r>
      <w:r>
        <w:rPr>
          <w:rFonts w:hint="eastAsia" w:ascii="仿宋_GB2312" w:hAnsi="宋体" w:eastAsia="仿宋_GB2312"/>
          <w:sz w:val="32"/>
          <w:szCs w:val="32"/>
        </w:rPr>
        <w:object>
          <v:shape id="_x0000_i1029" o:spt="75" type="#_x0000_t75" style="height:17.25pt;width:54.7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仿宋_GB2312" w:hAnsi="宋体" w:eastAsia="仿宋_GB2312"/>
          <w:sz w:val="32"/>
          <w:szCs w:val="32"/>
        </w:rPr>
        <w:t>时，</w:t>
      </w:r>
      <w:r>
        <w:rPr>
          <w:rFonts w:hint="eastAsia" w:ascii="仿宋_GB2312" w:hAnsi="宋体" w:eastAsia="仿宋_GB2312"/>
          <w:sz w:val="32"/>
          <w:szCs w:val="32"/>
        </w:rPr>
        <w:object>
          <v:shape id="_x0000_i1030" o:spt="75" type="#_x0000_t75" style="height:36pt;width:72.7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rFonts w:hint="eastAsia" w:ascii="仿宋_GB2312" w:hAnsi="宋体" w:eastAsia="仿宋_GB2312"/>
          <w:sz w:val="32"/>
          <w:szCs w:val="32"/>
        </w:rPr>
        <w:t>；</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当</w:t>
      </w:r>
      <w:r>
        <w:rPr>
          <w:rFonts w:hint="eastAsia" w:ascii="仿宋_GB2312" w:hAnsi="宋体" w:eastAsia="仿宋_GB2312"/>
          <w:sz w:val="32"/>
          <w:szCs w:val="32"/>
        </w:rPr>
        <w:object>
          <v:shape id="_x0000_i1031" o:spt="75" type="#_x0000_t75" style="height:18.75pt;width:33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rPr>
          <w:rFonts w:hint="eastAsia" w:ascii="仿宋_GB2312" w:hAnsi="宋体" w:eastAsia="仿宋_GB2312"/>
          <w:sz w:val="32"/>
          <w:szCs w:val="32"/>
        </w:rPr>
        <w:t>时，</w:t>
      </w:r>
      <w:r>
        <w:rPr>
          <w:rFonts w:hint="eastAsia" w:ascii="仿宋_GB2312" w:hAnsi="宋体" w:eastAsia="仿宋_GB2312"/>
          <w:sz w:val="32"/>
          <w:szCs w:val="32"/>
        </w:rPr>
        <w:object>
          <v:shape id="_x0000_i1032" o:spt="75" type="#_x0000_t75" style="height:36pt;width:101.2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rPr>
          <w:rFonts w:hint="eastAsia" w:ascii="仿宋_GB2312" w:hAnsi="宋体" w:eastAsia="仿宋_GB2312"/>
          <w:sz w:val="32"/>
          <w:szCs w:val="32"/>
        </w:rPr>
        <w:t>，</w:t>
      </w:r>
      <w:r>
        <w:rPr>
          <w:rFonts w:hint="eastAsia" w:ascii="仿宋_GB2312" w:hAnsi="宋体" w:eastAsia="仿宋_GB2312"/>
          <w:sz w:val="32"/>
          <w:szCs w:val="32"/>
        </w:rPr>
        <w:object>
          <v:shape id="_x0000_i1033" o:spt="75" type="#_x0000_t75" style="height:14.25pt;width:9.7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rFonts w:hint="eastAsia" w:ascii="仿宋_GB2312" w:hAnsi="宋体" w:eastAsia="仿宋_GB2312"/>
          <w:sz w:val="32"/>
          <w:szCs w:val="32"/>
        </w:rPr>
        <w:t>不得超过2.5。</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其中，学生基数</w:t>
      </w:r>
      <w:r>
        <w:rPr>
          <w:rFonts w:hint="eastAsia" w:ascii="仿宋_GB2312" w:hAnsi="宋体" w:eastAsia="仿宋_GB2312"/>
          <w:sz w:val="32"/>
          <w:szCs w:val="32"/>
        </w:rPr>
        <w:object>
          <v:shape id="_x0000_i1034" o:spt="75" type="#_x0000_t75" style="height:18.75pt;width:14.2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rFonts w:hint="eastAsia" w:ascii="仿宋_GB2312" w:hAnsi="宋体" w:eastAsia="仿宋_GB2312"/>
          <w:sz w:val="32"/>
          <w:szCs w:val="32"/>
        </w:rPr>
        <w:t>和学生基数</w:t>
      </w:r>
      <w:r>
        <w:rPr>
          <w:rFonts w:hint="eastAsia" w:ascii="仿宋_GB2312" w:hAnsi="宋体" w:eastAsia="仿宋_GB2312"/>
          <w:sz w:val="32"/>
          <w:szCs w:val="32"/>
        </w:rPr>
        <w:object>
          <v:shape id="_x0000_i1035" o:spt="75" type="#_x0000_t75" style="height:18.75pt;width:14.25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r>
        <w:rPr>
          <w:rFonts w:hint="eastAsia" w:ascii="仿宋_GB2312" w:hAnsi="宋体" w:eastAsia="仿宋_GB2312"/>
          <w:sz w:val="32"/>
          <w:szCs w:val="32"/>
        </w:rPr>
        <w:t>的确定见表二。</w:t>
      </w:r>
    </w:p>
    <w:p>
      <w:pPr>
        <w:snapToGrid w:val="0"/>
        <w:spacing w:line="500" w:lineRule="exact"/>
        <w:ind w:firstLine="480" w:firstLineChars="200"/>
        <w:jc w:val="center"/>
        <w:rPr>
          <w:rFonts w:ascii="仿宋_GB2312" w:eastAsia="仿宋_GB2312"/>
          <w:b/>
          <w:sz w:val="24"/>
        </w:rPr>
      </w:pPr>
      <w:r>
        <w:rPr>
          <w:rFonts w:hint="eastAsia" w:ascii="仿宋_GB2312" w:eastAsia="仿宋_GB2312"/>
          <w:sz w:val="24"/>
        </w:rPr>
        <w:t>表二. 学生基数</w:t>
      </w:r>
      <w:r>
        <w:rPr>
          <w:rFonts w:hint="eastAsia" w:ascii="仿宋_GB2312" w:eastAsia="仿宋_GB2312"/>
          <w:position w:val="-10"/>
          <w:sz w:val="24"/>
        </w:rPr>
        <w:object>
          <v:shape id="_x0000_i1036" o:spt="75" type="#_x0000_t75" style="height:18.75pt;width:14.25pt;" o:ole="t" filled="f" o:preferrelative="t" stroked="f" coordsize="21600,21600">
            <v:path/>
            <v:fill on="f" focussize="0,0"/>
            <v:stroke on="f" joinstyle="miter"/>
            <v:imagedata r:id="rId27" o:title=""/>
            <o:lock v:ext="edit" aspectratio="t"/>
            <w10:wrap type="none"/>
            <w10:anchorlock/>
          </v:shape>
          <o:OLEObject Type="Embed" ProgID="Equation.3" ShapeID="_x0000_i1036" DrawAspect="Content" ObjectID="_1468075736" r:id="rId30">
            <o:LockedField>false</o:LockedField>
          </o:OLEObject>
        </w:object>
      </w:r>
      <w:r>
        <w:rPr>
          <w:rFonts w:hint="eastAsia" w:ascii="仿宋_GB2312" w:eastAsia="仿宋_GB2312"/>
          <w:sz w:val="24"/>
        </w:rPr>
        <w:t>和学生基数</w:t>
      </w:r>
      <w:r>
        <w:rPr>
          <w:rFonts w:hint="eastAsia" w:ascii="仿宋_GB2312" w:eastAsia="仿宋_GB2312"/>
          <w:position w:val="-10"/>
          <w:sz w:val="24"/>
        </w:rPr>
        <w:object>
          <v:shape id="_x0000_i1037" o:spt="75" type="#_x0000_t75" style="height:18.75pt;width:14.25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7" r:id="rId31">
            <o:LockedField>false</o:LockedField>
          </o:OLEObject>
        </w:object>
      </w:r>
      <w:r>
        <w:rPr>
          <w:rFonts w:hint="eastAsia" w:ascii="仿宋_GB2312" w:eastAsia="仿宋_GB2312"/>
          <w:sz w:val="24"/>
        </w:rPr>
        <w:t>的确定</w:t>
      </w:r>
    </w:p>
    <w:tbl>
      <w:tblPr>
        <w:tblStyle w:val="5"/>
        <w:tblW w:w="79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2184"/>
        <w:gridCol w:w="1800"/>
        <w:gridCol w:w="18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36" w:type="dxa"/>
            <w:vAlign w:val="center"/>
          </w:tcPr>
          <w:p>
            <w:pPr>
              <w:snapToGrid w:val="0"/>
              <w:spacing w:line="500" w:lineRule="exact"/>
              <w:jc w:val="center"/>
              <w:rPr>
                <w:rFonts w:ascii="仿宋_GB2312" w:eastAsia="仿宋_GB2312"/>
                <w:sz w:val="24"/>
              </w:rPr>
            </w:pPr>
            <w:r>
              <w:rPr>
                <w:rFonts w:hint="eastAsia" w:ascii="仿宋_GB2312" w:eastAsia="仿宋_GB2312"/>
                <w:sz w:val="24"/>
              </w:rPr>
              <w:t>学生分类</w:t>
            </w:r>
          </w:p>
        </w:tc>
        <w:tc>
          <w:tcPr>
            <w:tcW w:w="2184" w:type="dxa"/>
            <w:vAlign w:val="center"/>
          </w:tcPr>
          <w:p>
            <w:pPr>
              <w:snapToGrid w:val="0"/>
              <w:spacing w:line="500" w:lineRule="exact"/>
              <w:jc w:val="center"/>
              <w:rPr>
                <w:rFonts w:ascii="仿宋_GB2312" w:eastAsia="仿宋_GB2312"/>
                <w:sz w:val="24"/>
              </w:rPr>
            </w:pPr>
            <w:r>
              <w:rPr>
                <w:rFonts w:hint="eastAsia" w:ascii="仿宋_GB2312" w:eastAsia="仿宋_GB2312"/>
                <w:sz w:val="24"/>
              </w:rPr>
              <w:t>课程分类</w:t>
            </w:r>
          </w:p>
        </w:tc>
        <w:tc>
          <w:tcPr>
            <w:tcW w:w="1800" w:type="dxa"/>
            <w:vAlign w:val="center"/>
          </w:tcPr>
          <w:p>
            <w:pPr>
              <w:snapToGrid w:val="0"/>
              <w:spacing w:line="500" w:lineRule="exact"/>
              <w:jc w:val="center"/>
              <w:rPr>
                <w:rFonts w:ascii="仿宋_GB2312" w:eastAsia="仿宋_GB2312"/>
                <w:sz w:val="24"/>
              </w:rPr>
            </w:pPr>
            <w:r>
              <w:rPr>
                <w:rFonts w:hint="eastAsia" w:ascii="仿宋_GB2312" w:eastAsia="仿宋_GB2312"/>
                <w:sz w:val="24"/>
              </w:rPr>
              <w:t>学生基数</w:t>
            </w:r>
            <w:r>
              <w:rPr>
                <w:rFonts w:hint="eastAsia" w:ascii="仿宋_GB2312" w:eastAsia="仿宋_GB2312"/>
                <w:position w:val="-10"/>
                <w:sz w:val="24"/>
              </w:rPr>
              <w:object>
                <v:shape id="_x0000_i1038" o:spt="75" type="#_x0000_t75" style="height:17.25pt;width:12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p>
        </w:tc>
        <w:tc>
          <w:tcPr>
            <w:tcW w:w="1800" w:type="dxa"/>
            <w:vAlign w:val="center"/>
          </w:tcPr>
          <w:p>
            <w:pPr>
              <w:snapToGrid w:val="0"/>
              <w:spacing w:line="500" w:lineRule="exact"/>
              <w:jc w:val="center"/>
              <w:rPr>
                <w:rFonts w:ascii="仿宋_GB2312" w:eastAsia="仿宋_GB2312"/>
                <w:sz w:val="24"/>
              </w:rPr>
            </w:pPr>
            <w:r>
              <w:rPr>
                <w:rFonts w:hint="eastAsia" w:ascii="仿宋_GB2312" w:eastAsia="仿宋_GB2312"/>
                <w:sz w:val="24"/>
              </w:rPr>
              <w:t>学生基数</w:t>
            </w:r>
            <w:r>
              <w:rPr>
                <w:rFonts w:hint="eastAsia" w:ascii="仿宋_GB2312" w:eastAsia="仿宋_GB2312"/>
                <w:position w:val="-10"/>
                <w:sz w:val="24"/>
              </w:rPr>
              <w:object>
                <v:shape id="_x0000_i1039"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p>
        </w:tc>
        <w:tc>
          <w:tcPr>
            <w:tcW w:w="900" w:type="dxa"/>
            <w:vAlign w:val="center"/>
          </w:tcPr>
          <w:p>
            <w:pPr>
              <w:snapToGrid w:val="0"/>
              <w:spacing w:line="50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236" w:type="dxa"/>
            <w:vMerge w:val="restart"/>
            <w:vAlign w:val="center"/>
          </w:tcPr>
          <w:p>
            <w:pPr>
              <w:snapToGrid w:val="0"/>
              <w:spacing w:line="500" w:lineRule="exact"/>
              <w:jc w:val="center"/>
              <w:rPr>
                <w:rFonts w:ascii="仿宋_GB2312" w:eastAsia="仿宋_GB2312"/>
                <w:sz w:val="24"/>
              </w:rPr>
            </w:pPr>
            <w:r>
              <w:rPr>
                <w:rFonts w:hint="eastAsia" w:ascii="仿宋_GB2312" w:eastAsia="仿宋_GB2312"/>
                <w:sz w:val="24"/>
              </w:rPr>
              <w:t>本科生</w:t>
            </w:r>
          </w:p>
        </w:tc>
        <w:tc>
          <w:tcPr>
            <w:tcW w:w="2184" w:type="dxa"/>
            <w:vAlign w:val="center"/>
          </w:tcPr>
          <w:p>
            <w:pPr>
              <w:snapToGrid w:val="0"/>
              <w:spacing w:line="500" w:lineRule="exact"/>
              <w:jc w:val="center"/>
              <w:rPr>
                <w:rFonts w:ascii="仿宋_GB2312" w:eastAsia="仿宋_GB2312"/>
                <w:sz w:val="24"/>
              </w:rPr>
            </w:pPr>
            <w:r>
              <w:rPr>
                <w:rFonts w:hint="eastAsia" w:ascii="仿宋_GB2312" w:eastAsia="仿宋_GB2312"/>
                <w:sz w:val="24"/>
              </w:rPr>
              <w:t>专业课</w:t>
            </w:r>
          </w:p>
        </w:tc>
        <w:tc>
          <w:tcPr>
            <w:tcW w:w="1800" w:type="dxa"/>
            <w:vAlign w:val="center"/>
          </w:tcPr>
          <w:p>
            <w:pPr>
              <w:snapToGrid w:val="0"/>
              <w:spacing w:line="500" w:lineRule="exact"/>
              <w:jc w:val="center"/>
              <w:rPr>
                <w:rFonts w:ascii="仿宋_GB2312" w:eastAsia="仿宋_GB2312"/>
                <w:sz w:val="24"/>
              </w:rPr>
            </w:pPr>
            <w:r>
              <w:rPr>
                <w:rFonts w:hint="eastAsia" w:ascii="仿宋_GB2312" w:eastAsia="仿宋_GB2312"/>
                <w:sz w:val="24"/>
              </w:rPr>
              <w:t>35</w:t>
            </w:r>
          </w:p>
        </w:tc>
        <w:tc>
          <w:tcPr>
            <w:tcW w:w="1800" w:type="dxa"/>
            <w:vAlign w:val="center"/>
          </w:tcPr>
          <w:p>
            <w:pPr>
              <w:snapToGrid w:val="0"/>
              <w:spacing w:line="500" w:lineRule="exact"/>
              <w:jc w:val="center"/>
              <w:rPr>
                <w:rFonts w:ascii="仿宋_GB2312" w:eastAsia="仿宋_GB2312"/>
                <w:sz w:val="24"/>
              </w:rPr>
            </w:pPr>
            <w:r>
              <w:rPr>
                <w:rFonts w:hint="eastAsia" w:ascii="仿宋_GB2312" w:eastAsia="仿宋_GB2312"/>
                <w:sz w:val="24"/>
              </w:rPr>
              <w:t>90</w:t>
            </w:r>
          </w:p>
        </w:tc>
        <w:tc>
          <w:tcPr>
            <w:tcW w:w="900" w:type="dxa"/>
            <w:vAlign w:val="center"/>
          </w:tcPr>
          <w:p>
            <w:pPr>
              <w:snapToGrid w:val="0"/>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vAlign w:val="center"/>
          </w:tcPr>
          <w:p>
            <w:pPr>
              <w:snapToGrid w:val="0"/>
              <w:spacing w:line="500" w:lineRule="exact"/>
              <w:jc w:val="center"/>
              <w:rPr>
                <w:rFonts w:ascii="仿宋_GB2312" w:eastAsia="仿宋_GB2312"/>
                <w:sz w:val="24"/>
              </w:rPr>
            </w:pPr>
          </w:p>
        </w:tc>
        <w:tc>
          <w:tcPr>
            <w:tcW w:w="2184" w:type="dxa"/>
            <w:vAlign w:val="center"/>
          </w:tcPr>
          <w:p>
            <w:pPr>
              <w:snapToGrid w:val="0"/>
              <w:spacing w:line="500" w:lineRule="exact"/>
              <w:jc w:val="center"/>
              <w:rPr>
                <w:rFonts w:ascii="仿宋_GB2312" w:eastAsia="仿宋_GB2312"/>
                <w:sz w:val="24"/>
              </w:rPr>
            </w:pPr>
            <w:r>
              <w:rPr>
                <w:rFonts w:hint="eastAsia" w:ascii="仿宋_GB2312" w:eastAsia="仿宋_GB2312"/>
                <w:sz w:val="24"/>
              </w:rPr>
              <w:t>公共课（公共选修课、文化素质课）</w:t>
            </w:r>
          </w:p>
        </w:tc>
        <w:tc>
          <w:tcPr>
            <w:tcW w:w="1800" w:type="dxa"/>
            <w:vAlign w:val="center"/>
          </w:tcPr>
          <w:p>
            <w:pPr>
              <w:snapToGrid w:val="0"/>
              <w:spacing w:line="500" w:lineRule="exact"/>
              <w:jc w:val="center"/>
              <w:rPr>
                <w:rFonts w:ascii="仿宋_GB2312" w:eastAsia="仿宋_GB2312"/>
                <w:sz w:val="24"/>
              </w:rPr>
            </w:pPr>
            <w:r>
              <w:rPr>
                <w:rFonts w:hint="eastAsia" w:ascii="仿宋_GB2312" w:eastAsia="仿宋_GB2312"/>
                <w:sz w:val="24"/>
              </w:rPr>
              <w:t>60</w:t>
            </w:r>
          </w:p>
        </w:tc>
        <w:tc>
          <w:tcPr>
            <w:tcW w:w="1800" w:type="dxa"/>
            <w:vAlign w:val="center"/>
          </w:tcPr>
          <w:p>
            <w:pPr>
              <w:snapToGrid w:val="0"/>
              <w:spacing w:line="500" w:lineRule="exact"/>
              <w:jc w:val="center"/>
              <w:rPr>
                <w:rFonts w:ascii="仿宋_GB2312" w:eastAsia="仿宋_GB2312"/>
                <w:sz w:val="24"/>
              </w:rPr>
            </w:pPr>
            <w:r>
              <w:rPr>
                <w:rFonts w:hint="eastAsia" w:ascii="仿宋_GB2312" w:eastAsia="仿宋_GB2312"/>
                <w:sz w:val="24"/>
              </w:rPr>
              <w:t>150</w:t>
            </w:r>
          </w:p>
        </w:tc>
        <w:tc>
          <w:tcPr>
            <w:tcW w:w="900" w:type="dxa"/>
            <w:vAlign w:val="center"/>
          </w:tcPr>
          <w:p>
            <w:pPr>
              <w:snapToGrid w:val="0"/>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36" w:type="dxa"/>
            <w:vMerge w:val="restart"/>
            <w:vAlign w:val="center"/>
          </w:tcPr>
          <w:p>
            <w:pPr>
              <w:snapToGrid w:val="0"/>
              <w:spacing w:line="500" w:lineRule="exact"/>
              <w:jc w:val="center"/>
              <w:rPr>
                <w:rFonts w:ascii="仿宋_GB2312" w:eastAsia="仿宋_GB2312"/>
                <w:sz w:val="24"/>
              </w:rPr>
            </w:pPr>
            <w:r>
              <w:rPr>
                <w:rFonts w:hint="eastAsia" w:ascii="仿宋_GB2312" w:eastAsia="仿宋_GB2312"/>
                <w:sz w:val="24"/>
              </w:rPr>
              <w:t>研究生</w:t>
            </w:r>
          </w:p>
        </w:tc>
        <w:tc>
          <w:tcPr>
            <w:tcW w:w="2184" w:type="dxa"/>
            <w:vAlign w:val="center"/>
          </w:tcPr>
          <w:p>
            <w:pPr>
              <w:snapToGrid w:val="0"/>
              <w:spacing w:line="500" w:lineRule="exact"/>
              <w:jc w:val="center"/>
              <w:rPr>
                <w:rFonts w:ascii="仿宋_GB2312" w:eastAsia="仿宋_GB2312"/>
                <w:sz w:val="24"/>
              </w:rPr>
            </w:pPr>
            <w:r>
              <w:rPr>
                <w:rFonts w:hint="eastAsia" w:ascii="仿宋_GB2312" w:eastAsia="仿宋_GB2312"/>
                <w:sz w:val="24"/>
              </w:rPr>
              <w:t>学位课及选修课</w:t>
            </w:r>
          </w:p>
        </w:tc>
        <w:tc>
          <w:tcPr>
            <w:tcW w:w="1800" w:type="dxa"/>
            <w:vAlign w:val="center"/>
          </w:tcPr>
          <w:p>
            <w:pPr>
              <w:snapToGrid w:val="0"/>
              <w:spacing w:line="500" w:lineRule="exact"/>
              <w:jc w:val="center"/>
              <w:rPr>
                <w:rFonts w:ascii="仿宋_GB2312" w:eastAsia="仿宋_GB2312"/>
                <w:sz w:val="24"/>
              </w:rPr>
            </w:pPr>
            <w:r>
              <w:rPr>
                <w:rFonts w:hint="eastAsia" w:ascii="仿宋_GB2312" w:eastAsia="仿宋_GB2312"/>
                <w:sz w:val="24"/>
              </w:rPr>
              <w:t>3</w:t>
            </w:r>
          </w:p>
        </w:tc>
        <w:tc>
          <w:tcPr>
            <w:tcW w:w="1800" w:type="dxa"/>
            <w:vAlign w:val="center"/>
          </w:tcPr>
          <w:p>
            <w:pPr>
              <w:snapToGrid w:val="0"/>
              <w:spacing w:line="500" w:lineRule="exact"/>
              <w:jc w:val="center"/>
              <w:rPr>
                <w:rFonts w:ascii="仿宋_GB2312" w:eastAsia="仿宋_GB2312"/>
                <w:sz w:val="24"/>
              </w:rPr>
            </w:pPr>
            <w:r>
              <w:rPr>
                <w:rFonts w:hint="eastAsia" w:ascii="仿宋_GB2312" w:eastAsia="仿宋_GB2312"/>
                <w:sz w:val="24"/>
              </w:rPr>
              <w:t>57</w:t>
            </w:r>
          </w:p>
        </w:tc>
        <w:tc>
          <w:tcPr>
            <w:tcW w:w="900" w:type="dxa"/>
            <w:vAlign w:val="center"/>
          </w:tcPr>
          <w:p>
            <w:pPr>
              <w:snapToGrid w:val="0"/>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tcPr>
          <w:p>
            <w:pPr>
              <w:snapToGrid w:val="0"/>
              <w:spacing w:line="500" w:lineRule="exact"/>
              <w:rPr>
                <w:rFonts w:ascii="仿宋_GB2312" w:eastAsia="仿宋_GB2312"/>
                <w:sz w:val="24"/>
              </w:rPr>
            </w:pPr>
          </w:p>
        </w:tc>
        <w:tc>
          <w:tcPr>
            <w:tcW w:w="2184" w:type="dxa"/>
            <w:vAlign w:val="center"/>
          </w:tcPr>
          <w:p>
            <w:pPr>
              <w:snapToGrid w:val="0"/>
              <w:spacing w:line="500" w:lineRule="exact"/>
              <w:jc w:val="center"/>
              <w:rPr>
                <w:rFonts w:ascii="仿宋_GB2312" w:eastAsia="仿宋_GB2312"/>
                <w:sz w:val="24"/>
              </w:rPr>
            </w:pPr>
            <w:r>
              <w:rPr>
                <w:rFonts w:hint="eastAsia" w:ascii="仿宋_GB2312" w:eastAsia="仿宋_GB2312"/>
                <w:sz w:val="24"/>
              </w:rPr>
              <w:t>公共课</w:t>
            </w:r>
          </w:p>
        </w:tc>
        <w:tc>
          <w:tcPr>
            <w:tcW w:w="1800" w:type="dxa"/>
            <w:vAlign w:val="center"/>
          </w:tcPr>
          <w:p>
            <w:pPr>
              <w:snapToGrid w:val="0"/>
              <w:spacing w:line="500" w:lineRule="exact"/>
              <w:jc w:val="center"/>
              <w:rPr>
                <w:rFonts w:ascii="仿宋_GB2312" w:eastAsia="仿宋_GB2312"/>
                <w:sz w:val="24"/>
              </w:rPr>
            </w:pPr>
            <w:r>
              <w:rPr>
                <w:rFonts w:hint="eastAsia" w:ascii="仿宋_GB2312" w:eastAsia="仿宋_GB2312"/>
                <w:sz w:val="24"/>
              </w:rPr>
              <w:t>50</w:t>
            </w:r>
          </w:p>
        </w:tc>
        <w:tc>
          <w:tcPr>
            <w:tcW w:w="1800" w:type="dxa"/>
            <w:vAlign w:val="center"/>
          </w:tcPr>
          <w:p>
            <w:pPr>
              <w:snapToGrid w:val="0"/>
              <w:spacing w:line="500" w:lineRule="exact"/>
              <w:jc w:val="center"/>
              <w:rPr>
                <w:rFonts w:ascii="仿宋_GB2312" w:eastAsia="仿宋_GB2312"/>
                <w:sz w:val="24"/>
              </w:rPr>
            </w:pPr>
            <w:r>
              <w:rPr>
                <w:rFonts w:hint="eastAsia" w:ascii="仿宋_GB2312" w:eastAsia="仿宋_GB2312"/>
                <w:sz w:val="24"/>
              </w:rPr>
              <w:t>140</w:t>
            </w:r>
          </w:p>
        </w:tc>
        <w:tc>
          <w:tcPr>
            <w:tcW w:w="900" w:type="dxa"/>
          </w:tcPr>
          <w:p>
            <w:pPr>
              <w:snapToGrid w:val="0"/>
              <w:spacing w:line="500" w:lineRule="exact"/>
              <w:jc w:val="center"/>
              <w:rPr>
                <w:rFonts w:ascii="仿宋_GB2312" w:eastAsia="仿宋_GB2312"/>
                <w:sz w:val="24"/>
              </w:rPr>
            </w:pPr>
          </w:p>
        </w:tc>
      </w:tr>
    </w:tbl>
    <w:p>
      <w:pPr>
        <w:spacing w:line="520" w:lineRule="atLeast"/>
        <w:ind w:firstLine="320" w:firstLineChars="100"/>
        <w:rPr>
          <w:rFonts w:ascii="仿宋_GB2312" w:hAnsi="宋体" w:eastAsia="仿宋_GB2312"/>
          <w:sz w:val="32"/>
          <w:szCs w:val="32"/>
        </w:rPr>
      </w:pPr>
      <w:r>
        <w:rPr>
          <w:rFonts w:hint="eastAsia" w:ascii="仿宋_GB2312" w:hAnsi="宋体" w:eastAsia="仿宋_GB2312"/>
          <w:sz w:val="32"/>
          <w:szCs w:val="32"/>
        </w:rPr>
        <w:t>（注：学科拓展课、新生研讨课按照系数k=1.2计算）</w:t>
      </w:r>
    </w:p>
    <w:p>
      <w:pPr>
        <w:spacing w:line="520" w:lineRule="atLeast"/>
        <w:ind w:firstLine="320" w:firstLineChars="100"/>
        <w:rPr>
          <w:rFonts w:ascii="仿宋_GB2312" w:hAnsi="宋体" w:eastAsia="仿宋_GB2312"/>
          <w:sz w:val="32"/>
          <w:szCs w:val="32"/>
        </w:rPr>
      </w:pPr>
      <w:r>
        <w:rPr>
          <w:rFonts w:ascii="仿宋_GB2312" w:hAnsi="宋体" w:eastAsia="仿宋_GB2312"/>
          <w:sz w:val="32"/>
          <w:szCs w:val="32"/>
        </w:rPr>
        <w:t>课程评价为优秀的</w:t>
      </w:r>
      <w:r>
        <w:rPr>
          <w:rFonts w:hint="eastAsia" w:ascii="仿宋_GB2312" w:hAnsi="宋体" w:eastAsia="仿宋_GB2312"/>
          <w:sz w:val="32"/>
          <w:szCs w:val="32"/>
        </w:rPr>
        <w:t>，</w:t>
      </w:r>
      <w:r>
        <w:rPr>
          <w:rFonts w:ascii="仿宋_GB2312" w:hAnsi="宋体" w:eastAsia="仿宋_GB2312"/>
          <w:sz w:val="32"/>
          <w:szCs w:val="32"/>
        </w:rPr>
        <w:t>该门课程课时系数为</w:t>
      </w:r>
      <w:r>
        <w:rPr>
          <w:rFonts w:hint="eastAsia" w:ascii="仿宋_GB2312" w:hAnsi="宋体" w:eastAsia="仿宋_GB2312"/>
          <w:sz w:val="32"/>
          <w:szCs w:val="32"/>
        </w:rPr>
        <w:t>1</w:t>
      </w: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其中全校排名前</w:t>
      </w:r>
      <w:r>
        <w:rPr>
          <w:rFonts w:hint="eastAsia" w:ascii="仿宋_GB2312" w:hAnsi="宋体" w:eastAsia="仿宋_GB2312"/>
          <w:sz w:val="32"/>
          <w:szCs w:val="32"/>
        </w:rPr>
        <w:t>2</w:t>
      </w:r>
      <w:r>
        <w:rPr>
          <w:rFonts w:ascii="仿宋_GB2312" w:hAnsi="宋体" w:eastAsia="仿宋_GB2312"/>
          <w:sz w:val="32"/>
          <w:szCs w:val="32"/>
        </w:rPr>
        <w:t>0</w:t>
      </w:r>
      <w:r>
        <w:rPr>
          <w:rFonts w:hint="eastAsia" w:ascii="仿宋_GB2312" w:hAnsi="宋体" w:eastAsia="仿宋_GB2312"/>
          <w:sz w:val="32"/>
          <w:szCs w:val="32"/>
        </w:rPr>
        <w:t>%</w:t>
      </w:r>
      <w:r>
        <w:rPr>
          <w:rFonts w:ascii="仿宋_GB2312" w:hAnsi="宋体" w:eastAsia="仿宋_GB2312"/>
          <w:sz w:val="32"/>
          <w:szCs w:val="32"/>
        </w:rPr>
        <w:t>的</w:t>
      </w:r>
      <w:r>
        <w:rPr>
          <w:rFonts w:hint="eastAsia" w:ascii="仿宋_GB2312" w:hAnsi="宋体" w:eastAsia="仿宋_GB2312"/>
          <w:sz w:val="32"/>
          <w:szCs w:val="32"/>
        </w:rPr>
        <w:t>，</w:t>
      </w:r>
      <w:r>
        <w:rPr>
          <w:rFonts w:ascii="仿宋_GB2312" w:hAnsi="宋体" w:eastAsia="仿宋_GB2312"/>
          <w:sz w:val="32"/>
          <w:szCs w:val="32"/>
        </w:rPr>
        <w:t>系数为</w:t>
      </w:r>
      <w:r>
        <w:rPr>
          <w:rFonts w:hint="eastAsia" w:ascii="仿宋_GB2312" w:hAnsi="宋体" w:eastAsia="仿宋_GB2312"/>
          <w:sz w:val="32"/>
          <w:szCs w:val="32"/>
        </w:rPr>
        <w:t>1</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课程评价排名全校后</w:t>
      </w:r>
      <w:r>
        <w:rPr>
          <w:rFonts w:hint="eastAsia" w:ascii="仿宋_GB2312" w:hAnsi="宋体" w:eastAsia="仿宋_GB2312"/>
          <w:sz w:val="32"/>
          <w:szCs w:val="32"/>
        </w:rPr>
        <w:t>1%且评教结果为较差的，年终绩效考核为基本合格及以下。（课程评价以教学评估系统结果为准）</w:t>
      </w:r>
    </w:p>
    <w:p>
      <w:pPr>
        <w:spacing w:line="520" w:lineRule="atLeast"/>
        <w:ind w:firstLine="320" w:firstLineChars="100"/>
        <w:rPr>
          <w:rFonts w:ascii="仿宋_GB2312" w:hAnsi="宋体" w:eastAsia="仿宋_GB2312"/>
          <w:sz w:val="32"/>
          <w:szCs w:val="32"/>
        </w:rPr>
      </w:pPr>
      <w:r>
        <w:rPr>
          <w:rFonts w:hint="eastAsia" w:ascii="仿宋_GB2312" w:hAnsi="宋体" w:eastAsia="仿宋_GB2312"/>
          <w:sz w:val="32"/>
          <w:szCs w:val="32"/>
        </w:rPr>
        <w:t>2.为本科生开新课（或新开课）系数为1.2,同一门课按就高原则只计一次开新课系数。</w:t>
      </w:r>
    </w:p>
    <w:p>
      <w:pPr>
        <w:spacing w:line="520" w:lineRule="atLeast"/>
        <w:ind w:firstLine="320" w:firstLineChars="100"/>
        <w:rPr>
          <w:rFonts w:ascii="仿宋_GB2312" w:hAnsi="宋体" w:eastAsia="仿宋_GB2312"/>
          <w:sz w:val="32"/>
          <w:szCs w:val="32"/>
        </w:rPr>
      </w:pPr>
      <w:r>
        <w:rPr>
          <w:rFonts w:hint="eastAsia" w:ascii="仿宋_GB2312" w:hAnsi="宋体" w:eastAsia="仿宋_GB2312"/>
          <w:sz w:val="32"/>
          <w:szCs w:val="32"/>
        </w:rPr>
        <w:t>3.课程系数：本科生课程系数为1；硕士生课程系数为1.3。</w:t>
      </w:r>
    </w:p>
    <w:p>
      <w:pPr>
        <w:spacing w:line="520" w:lineRule="atLeast"/>
        <w:ind w:firstLine="320" w:firstLineChars="100"/>
        <w:rPr>
          <w:rFonts w:ascii="仿宋_GB2312" w:hAnsi="宋体" w:eastAsia="仿宋_GB2312"/>
          <w:sz w:val="32"/>
          <w:szCs w:val="32"/>
        </w:rPr>
      </w:pPr>
      <w:r>
        <w:rPr>
          <w:rFonts w:hint="eastAsia" w:ascii="仿宋_GB2312" w:hAnsi="宋体" w:eastAsia="仿宋_GB2312"/>
          <w:sz w:val="32"/>
          <w:szCs w:val="32"/>
        </w:rPr>
        <w:t>4.课程的教学计划中规定的实践或实验课时数，必须按规定予以实施。</w:t>
      </w:r>
    </w:p>
    <w:p>
      <w:pPr>
        <w:spacing w:line="520" w:lineRule="atLeast"/>
        <w:ind w:firstLine="643" w:firstLineChars="200"/>
        <w:rPr>
          <w:rFonts w:ascii="仿宋_GB2312" w:hAnsi="宋体" w:eastAsia="仿宋_GB2312"/>
          <w:b/>
          <w:sz w:val="32"/>
          <w:szCs w:val="32"/>
        </w:rPr>
      </w:pPr>
      <w:r>
        <w:rPr>
          <w:rFonts w:hint="eastAsia" w:ascii="仿宋_GB2312" w:hAnsi="宋体" w:eastAsia="仿宋_GB2312"/>
          <w:b/>
          <w:sz w:val="32"/>
          <w:szCs w:val="32"/>
        </w:rPr>
        <w:t>（二）带硕士生、本科生实习和毕业论文的分值确定</w:t>
      </w:r>
    </w:p>
    <w:p>
      <w:pPr>
        <w:snapToGrid w:val="0"/>
        <w:spacing w:line="500" w:lineRule="exact"/>
        <w:ind w:firstLine="240" w:firstLineChars="100"/>
        <w:jc w:val="center"/>
        <w:rPr>
          <w:rFonts w:ascii="仿宋_GB2312" w:eastAsia="仿宋_GB2312"/>
          <w:sz w:val="24"/>
        </w:rPr>
      </w:pPr>
      <w:r>
        <w:rPr>
          <w:rFonts w:hint="eastAsia" w:ascii="仿宋_GB2312" w:eastAsia="仿宋_GB2312"/>
          <w:sz w:val="24"/>
        </w:rPr>
        <w:t>表三. 带硕士生、博士生以及带本科生实习、指导本科生毕业论文的分值计算</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3469"/>
        <w:gridCol w:w="1455"/>
        <w:gridCol w:w="169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500" w:lineRule="exact"/>
              <w:jc w:val="center"/>
              <w:rPr>
                <w:rFonts w:ascii="仿宋_GB2312" w:eastAsia="仿宋_GB2312"/>
                <w:sz w:val="24"/>
              </w:rPr>
            </w:pPr>
            <w:r>
              <w:rPr>
                <w:rFonts w:hint="eastAsia" w:ascii="仿宋_GB2312" w:eastAsia="仿宋_GB2312"/>
                <w:sz w:val="24"/>
              </w:rPr>
              <w:t>序号</w:t>
            </w:r>
          </w:p>
        </w:tc>
        <w:tc>
          <w:tcPr>
            <w:tcW w:w="1845" w:type="pct"/>
            <w:vAlign w:val="center"/>
          </w:tcPr>
          <w:p>
            <w:pPr>
              <w:snapToGrid w:val="0"/>
              <w:spacing w:line="500" w:lineRule="exact"/>
              <w:jc w:val="center"/>
              <w:rPr>
                <w:rFonts w:ascii="仿宋_GB2312" w:eastAsia="仿宋_GB2312"/>
                <w:sz w:val="24"/>
              </w:rPr>
            </w:pPr>
            <w:r>
              <w:rPr>
                <w:rFonts w:hint="eastAsia" w:ascii="仿宋_GB2312" w:eastAsia="仿宋_GB2312"/>
                <w:sz w:val="24"/>
              </w:rPr>
              <w:t>项目</w:t>
            </w:r>
          </w:p>
        </w:tc>
        <w:tc>
          <w:tcPr>
            <w:tcW w:w="774" w:type="pct"/>
            <w:vAlign w:val="center"/>
          </w:tcPr>
          <w:p>
            <w:pPr>
              <w:snapToGrid w:val="0"/>
              <w:spacing w:line="400" w:lineRule="exact"/>
              <w:rPr>
                <w:rFonts w:ascii="仿宋_GB2312" w:eastAsia="仿宋_GB2312"/>
                <w:sz w:val="24"/>
              </w:rPr>
            </w:pPr>
            <w:r>
              <w:rPr>
                <w:rFonts w:hint="eastAsia" w:ascii="仿宋_GB2312" w:eastAsia="仿宋_GB2312"/>
                <w:sz w:val="24"/>
              </w:rPr>
              <w:t>带每个学生的分值</w:t>
            </w:r>
          </w:p>
        </w:tc>
        <w:tc>
          <w:tcPr>
            <w:tcW w:w="902" w:type="pct"/>
          </w:tcPr>
          <w:p>
            <w:pPr>
              <w:snapToGrid w:val="0"/>
              <w:spacing w:line="400" w:lineRule="exact"/>
              <w:rPr>
                <w:rFonts w:ascii="仿宋_GB2312" w:eastAsia="仿宋_GB2312"/>
                <w:sz w:val="24"/>
              </w:rPr>
            </w:pPr>
            <w:r>
              <w:rPr>
                <w:rFonts w:hint="eastAsia" w:ascii="仿宋_GB2312" w:eastAsia="仿宋_GB2312"/>
                <w:sz w:val="24"/>
              </w:rPr>
              <w:t>优秀学位论文加分</w:t>
            </w:r>
          </w:p>
        </w:tc>
        <w:tc>
          <w:tcPr>
            <w:tcW w:w="1163" w:type="pct"/>
            <w:vAlign w:val="center"/>
          </w:tcPr>
          <w:p>
            <w:pPr>
              <w:snapToGrid w:val="0"/>
              <w:spacing w:line="50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6" w:type="pct"/>
            <w:vAlign w:val="center"/>
          </w:tcPr>
          <w:p>
            <w:pPr>
              <w:snapToGrid w:val="0"/>
              <w:spacing w:line="500" w:lineRule="exact"/>
              <w:jc w:val="center"/>
              <w:rPr>
                <w:rFonts w:ascii="仿宋_GB2312" w:eastAsia="仿宋_GB2312"/>
                <w:sz w:val="24"/>
              </w:rPr>
            </w:pPr>
            <w:r>
              <w:rPr>
                <w:rFonts w:hint="eastAsia" w:ascii="仿宋_GB2312" w:eastAsia="仿宋_GB2312"/>
                <w:sz w:val="24"/>
              </w:rPr>
              <w:t>1</w:t>
            </w:r>
          </w:p>
        </w:tc>
        <w:tc>
          <w:tcPr>
            <w:tcW w:w="1845" w:type="pct"/>
            <w:vAlign w:val="center"/>
          </w:tcPr>
          <w:p>
            <w:pPr>
              <w:snapToGrid w:val="0"/>
              <w:spacing w:line="500" w:lineRule="exact"/>
              <w:jc w:val="center"/>
              <w:rPr>
                <w:rFonts w:ascii="仿宋_GB2312" w:eastAsia="仿宋_GB2312"/>
                <w:sz w:val="24"/>
              </w:rPr>
            </w:pPr>
            <w:r>
              <w:rPr>
                <w:rFonts w:hint="eastAsia" w:ascii="仿宋_GB2312" w:eastAsia="仿宋_GB2312"/>
                <w:sz w:val="24"/>
              </w:rPr>
              <w:t>带硕士分值</w:t>
            </w:r>
          </w:p>
        </w:tc>
        <w:tc>
          <w:tcPr>
            <w:tcW w:w="774" w:type="pct"/>
            <w:vAlign w:val="center"/>
          </w:tcPr>
          <w:p>
            <w:pPr>
              <w:snapToGrid w:val="0"/>
              <w:spacing w:line="500" w:lineRule="exact"/>
              <w:jc w:val="center"/>
              <w:rPr>
                <w:rFonts w:ascii="仿宋_GB2312" w:eastAsia="仿宋_GB2312"/>
                <w:sz w:val="24"/>
              </w:rPr>
            </w:pPr>
            <w:r>
              <w:rPr>
                <w:rFonts w:hint="eastAsia" w:ascii="仿宋_GB2312" w:eastAsia="仿宋_GB2312"/>
                <w:sz w:val="24"/>
              </w:rPr>
              <w:t>25</w:t>
            </w:r>
          </w:p>
        </w:tc>
        <w:tc>
          <w:tcPr>
            <w:tcW w:w="902" w:type="pct"/>
          </w:tcPr>
          <w:p>
            <w:pPr>
              <w:snapToGrid w:val="0"/>
              <w:spacing w:line="500" w:lineRule="exact"/>
              <w:jc w:val="center"/>
              <w:rPr>
                <w:rFonts w:ascii="仿宋_GB2312" w:eastAsia="仿宋_GB2312"/>
                <w:sz w:val="24"/>
              </w:rPr>
            </w:pPr>
            <w:r>
              <w:rPr>
                <w:rFonts w:hint="eastAsia" w:ascii="仿宋_GB2312" w:eastAsia="仿宋_GB2312"/>
                <w:sz w:val="24"/>
              </w:rPr>
              <w:t>校级：30</w:t>
            </w:r>
          </w:p>
          <w:p>
            <w:pPr>
              <w:snapToGrid w:val="0"/>
              <w:spacing w:line="500" w:lineRule="exact"/>
              <w:jc w:val="center"/>
              <w:rPr>
                <w:rFonts w:ascii="仿宋_GB2312" w:eastAsia="仿宋_GB2312"/>
                <w:sz w:val="24"/>
              </w:rPr>
            </w:pPr>
            <w:r>
              <w:rPr>
                <w:rFonts w:hint="eastAsia" w:ascii="仿宋_GB2312" w:eastAsia="仿宋_GB2312"/>
                <w:sz w:val="24"/>
              </w:rPr>
              <w:t>省级：60</w:t>
            </w:r>
          </w:p>
        </w:tc>
        <w:tc>
          <w:tcPr>
            <w:tcW w:w="1163" w:type="pct"/>
            <w:vAlign w:val="center"/>
          </w:tcPr>
          <w:p>
            <w:pPr>
              <w:snapToGrid w:val="0"/>
              <w:spacing w:line="240" w:lineRule="exact"/>
              <w:rPr>
                <w:rFonts w:ascii="仿宋_GB2312" w:eastAsia="仿宋_GB2312"/>
                <w:szCs w:val="21"/>
              </w:rPr>
            </w:pPr>
            <w:r>
              <w:rPr>
                <w:rFonts w:hint="eastAsia" w:ascii="仿宋_GB2312" w:eastAsia="仿宋_GB2312"/>
                <w:szCs w:val="21"/>
              </w:rPr>
              <w:t>硕士生以本年度实际在校人数统计，其中毕业生、新生按一半计算分值。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 w:type="pct"/>
            <w:vAlign w:val="center"/>
          </w:tcPr>
          <w:p>
            <w:pPr>
              <w:snapToGrid w:val="0"/>
              <w:spacing w:line="500" w:lineRule="exact"/>
              <w:jc w:val="center"/>
              <w:rPr>
                <w:rFonts w:ascii="仿宋_GB2312" w:eastAsia="仿宋_GB2312"/>
                <w:sz w:val="24"/>
              </w:rPr>
            </w:pPr>
            <w:r>
              <w:rPr>
                <w:rFonts w:hint="eastAsia" w:ascii="仿宋_GB2312" w:eastAsia="仿宋_GB2312"/>
                <w:sz w:val="24"/>
              </w:rPr>
              <w:t>3</w:t>
            </w:r>
          </w:p>
        </w:tc>
        <w:tc>
          <w:tcPr>
            <w:tcW w:w="1845" w:type="pct"/>
            <w:vAlign w:val="center"/>
          </w:tcPr>
          <w:p>
            <w:pPr>
              <w:snapToGrid w:val="0"/>
              <w:spacing w:line="500" w:lineRule="exact"/>
              <w:jc w:val="center"/>
              <w:rPr>
                <w:rFonts w:ascii="仿宋_GB2312" w:eastAsia="仿宋_GB2312"/>
                <w:sz w:val="24"/>
              </w:rPr>
            </w:pPr>
            <w:r>
              <w:rPr>
                <w:rFonts w:hint="eastAsia" w:ascii="仿宋_GB2312" w:eastAsia="仿宋_GB2312"/>
                <w:sz w:val="24"/>
              </w:rPr>
              <w:t>带本科毕业生实习、论文分值</w:t>
            </w:r>
          </w:p>
        </w:tc>
        <w:tc>
          <w:tcPr>
            <w:tcW w:w="774" w:type="pct"/>
            <w:vAlign w:val="center"/>
          </w:tcPr>
          <w:p>
            <w:pPr>
              <w:snapToGrid w:val="0"/>
              <w:spacing w:line="500" w:lineRule="exact"/>
              <w:jc w:val="center"/>
              <w:rPr>
                <w:rFonts w:ascii="仿宋_GB2312" w:eastAsia="仿宋_GB2312"/>
                <w:sz w:val="24"/>
              </w:rPr>
            </w:pPr>
            <w:r>
              <w:rPr>
                <w:rFonts w:hint="eastAsia" w:ascii="仿宋_GB2312" w:eastAsia="仿宋_GB2312"/>
                <w:sz w:val="24"/>
              </w:rPr>
              <w:t>15</w:t>
            </w:r>
          </w:p>
        </w:tc>
        <w:tc>
          <w:tcPr>
            <w:tcW w:w="902" w:type="pct"/>
          </w:tcPr>
          <w:p>
            <w:pPr>
              <w:snapToGrid w:val="0"/>
              <w:spacing w:line="500" w:lineRule="exact"/>
              <w:jc w:val="center"/>
              <w:rPr>
                <w:rFonts w:ascii="仿宋_GB2312" w:eastAsia="仿宋_GB2312"/>
                <w:sz w:val="24"/>
              </w:rPr>
            </w:pPr>
            <w:r>
              <w:rPr>
                <w:rFonts w:hint="eastAsia" w:ascii="仿宋_GB2312" w:eastAsia="仿宋_GB2312"/>
                <w:sz w:val="24"/>
              </w:rPr>
              <w:t>校级：10</w:t>
            </w:r>
          </w:p>
          <w:p>
            <w:pPr>
              <w:snapToGrid w:val="0"/>
              <w:spacing w:line="500" w:lineRule="exact"/>
              <w:jc w:val="center"/>
              <w:rPr>
                <w:rFonts w:ascii="仿宋_GB2312" w:eastAsia="仿宋_GB2312"/>
                <w:sz w:val="24"/>
              </w:rPr>
            </w:pPr>
            <w:r>
              <w:rPr>
                <w:rFonts w:hint="eastAsia" w:ascii="仿宋_GB2312" w:eastAsia="仿宋_GB2312"/>
                <w:sz w:val="24"/>
              </w:rPr>
              <w:t>省级：30</w:t>
            </w:r>
          </w:p>
        </w:tc>
        <w:tc>
          <w:tcPr>
            <w:tcW w:w="1163" w:type="pct"/>
            <w:vAlign w:val="center"/>
          </w:tcPr>
          <w:p>
            <w:pPr>
              <w:snapToGrid w:val="0"/>
              <w:spacing w:line="500" w:lineRule="exact"/>
              <w:jc w:val="center"/>
              <w:rPr>
                <w:rFonts w:ascii="仿宋_GB2312" w:eastAsia="仿宋_GB2312"/>
                <w:sz w:val="24"/>
              </w:rPr>
            </w:pPr>
          </w:p>
        </w:tc>
      </w:tr>
    </w:tbl>
    <w:p>
      <w:pPr>
        <w:spacing w:line="520" w:lineRule="atLeast"/>
        <w:ind w:firstLine="643" w:firstLineChars="200"/>
        <w:rPr>
          <w:rFonts w:ascii="仿宋_GB2312" w:hAnsi="宋体" w:eastAsia="仿宋_GB2312"/>
          <w:b/>
          <w:sz w:val="32"/>
          <w:szCs w:val="32"/>
        </w:rPr>
      </w:pPr>
      <w:r>
        <w:rPr>
          <w:rFonts w:hint="eastAsia" w:ascii="仿宋_GB2312" w:hAnsi="宋体" w:eastAsia="仿宋_GB2312"/>
          <w:b/>
          <w:sz w:val="32"/>
          <w:szCs w:val="32"/>
        </w:rPr>
        <w:t>（三）相关分值补贴的确定</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1.新引进教师入职后前1</w:t>
      </w:r>
      <w:r>
        <w:rPr>
          <w:rFonts w:ascii="仿宋_GB2312" w:hAnsi="宋体" w:eastAsia="仿宋_GB2312"/>
          <w:sz w:val="32"/>
          <w:szCs w:val="32"/>
        </w:rPr>
        <w:t>2个月按合格分值计算</w:t>
      </w:r>
      <w:r>
        <w:rPr>
          <w:rFonts w:hint="eastAsia" w:ascii="仿宋_GB2312" w:hAnsi="宋体" w:eastAsia="仿宋_GB2312"/>
          <w:sz w:val="32"/>
          <w:szCs w:val="32"/>
        </w:rPr>
        <w:t>。</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2.当年度职称晋升的教师合格分值为晋升前和晋升后规定的各个分值的平均值。</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3.休法定产假的教师，按学校相关政策规定进行相应的分值补贴。</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4.学科建设，本科、研究生教学编制中的双语教学、专业建设、教材编写等给予相应分值补贴。</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5.带学生参加重大或国际比赛，根据比赛的性质，参照教学工作量计算方法赋分，获奖者，另按一定系数赋分。</w:t>
      </w:r>
    </w:p>
    <w:p>
      <w:pPr>
        <w:spacing w:line="520" w:lineRule="atLeast"/>
        <w:ind w:firstLine="643" w:firstLineChars="200"/>
        <w:rPr>
          <w:rFonts w:ascii="仿宋_GB2312" w:hAnsi="宋体" w:eastAsia="仿宋_GB2312"/>
          <w:b/>
          <w:sz w:val="32"/>
          <w:szCs w:val="32"/>
        </w:rPr>
      </w:pPr>
      <w:r>
        <w:rPr>
          <w:rFonts w:hint="eastAsia" w:ascii="仿宋_GB2312" w:hAnsi="宋体" w:eastAsia="仿宋_GB2312"/>
          <w:b/>
          <w:sz w:val="32"/>
          <w:szCs w:val="32"/>
        </w:rPr>
        <w:t>六、公益活动及公共服务的分值确定</w:t>
      </w:r>
    </w:p>
    <w:p>
      <w:pPr>
        <w:spacing w:line="520" w:lineRule="atLeast"/>
        <w:ind w:firstLine="640" w:firstLineChars="200"/>
        <w:rPr>
          <w:rFonts w:ascii="仿宋_GB2312" w:hAnsi="宋体" w:eastAsia="仿宋_GB2312"/>
          <w:sz w:val="32"/>
          <w:szCs w:val="32"/>
        </w:rPr>
      </w:pPr>
      <w:r>
        <w:rPr>
          <w:rFonts w:hint="eastAsia" w:ascii="仿宋_GB2312" w:hAnsi="宋体" w:eastAsia="仿宋_GB2312"/>
          <w:sz w:val="32"/>
          <w:szCs w:val="32"/>
        </w:rPr>
        <w:t>为鼓励教师积极主动参与校、院、系的教学、学科、科研、党团及学生活动等有关工作，学院将教职工参加集体活动情况纳入绩效考核。</w:t>
      </w:r>
    </w:p>
    <w:p>
      <w:pPr>
        <w:spacing w:line="520" w:lineRule="atLeast"/>
        <w:ind w:firstLine="643" w:firstLineChars="200"/>
        <w:rPr>
          <w:rFonts w:ascii="仿宋_GB2312" w:hAnsi="宋体" w:eastAsia="仿宋_GB2312"/>
          <w:b/>
          <w:sz w:val="32"/>
          <w:szCs w:val="32"/>
        </w:rPr>
      </w:pPr>
      <w:r>
        <w:rPr>
          <w:rFonts w:hint="eastAsia" w:ascii="仿宋_GB2312" w:hAnsi="宋体" w:eastAsia="仿宋_GB2312"/>
          <w:b/>
          <w:sz w:val="32"/>
          <w:szCs w:val="32"/>
        </w:rPr>
        <w:t>七、科研工作分值计算办法</w:t>
      </w:r>
    </w:p>
    <w:tbl>
      <w:tblPr>
        <w:tblStyle w:val="5"/>
        <w:tblW w:w="9224" w:type="dxa"/>
        <w:tblInd w:w="98" w:type="dxa"/>
        <w:tblBorders>
          <w:top w:val="none" w:color="auto" w:sz="0"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2596"/>
        <w:gridCol w:w="1383"/>
        <w:gridCol w:w="2127"/>
        <w:gridCol w:w="992"/>
        <w:gridCol w:w="2126"/>
      </w:tblGrid>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9224" w:type="dxa"/>
            <w:gridSpan w:val="5"/>
            <w:tcBorders>
              <w:bottom w:val="single" w:color="auto" w:sz="8" w:space="0"/>
            </w:tcBorders>
            <w:shd w:val="clear" w:color="auto" w:fill="auto"/>
            <w:noWrap/>
            <w:vAlign w:val="center"/>
          </w:tcPr>
          <w:p>
            <w:pPr>
              <w:snapToGrid w:val="0"/>
              <w:spacing w:line="500" w:lineRule="exact"/>
              <w:ind w:firstLine="240" w:firstLineChars="100"/>
              <w:jc w:val="center"/>
              <w:rPr>
                <w:rFonts w:ascii="黑体" w:hAnsi="黑体" w:eastAsia="黑体" w:cs="宋体"/>
                <w:kern w:val="0"/>
                <w:sz w:val="28"/>
              </w:rPr>
            </w:pPr>
            <w:r>
              <w:rPr>
                <w:rFonts w:hint="eastAsia" w:ascii="仿宋_GB2312" w:eastAsia="仿宋_GB2312"/>
                <w:sz w:val="24"/>
              </w:rPr>
              <w:t>表四 科研相关指标分值表</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9" w:type="dxa"/>
            <w:gridSpan w:val="2"/>
            <w:tcBorders>
              <w:top w:val="single" w:color="auto" w:sz="18" w:space="0"/>
              <w:left w:val="single" w:color="auto" w:sz="1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b/>
                <w:sz w:val="24"/>
              </w:rPr>
            </w:pPr>
            <w:r>
              <w:rPr>
                <w:rFonts w:hint="eastAsia" w:ascii="仿宋_GB2312" w:eastAsia="仿宋_GB2312"/>
                <w:b/>
                <w:sz w:val="24"/>
              </w:rPr>
              <w:t>社科基金类项目</w:t>
            </w:r>
          </w:p>
        </w:tc>
        <w:tc>
          <w:tcPr>
            <w:tcW w:w="5245" w:type="dxa"/>
            <w:gridSpan w:val="3"/>
            <w:tcBorders>
              <w:top w:val="single" w:color="auto" w:sz="18" w:space="0"/>
              <w:left w:val="single" w:color="auto" w:sz="18" w:space="0"/>
              <w:right w:val="single" w:color="auto" w:sz="18" w:space="0"/>
            </w:tcBorders>
            <w:shd w:val="clear" w:color="auto" w:fill="auto"/>
            <w:noWrap/>
            <w:vAlign w:val="center"/>
          </w:tcPr>
          <w:p>
            <w:pPr>
              <w:snapToGrid w:val="0"/>
              <w:spacing w:line="500" w:lineRule="exact"/>
              <w:jc w:val="center"/>
              <w:rPr>
                <w:rFonts w:ascii="仿宋_GB2312" w:eastAsia="仿宋_GB2312"/>
                <w:b/>
                <w:sz w:val="24"/>
              </w:rPr>
            </w:pPr>
            <w:r>
              <w:rPr>
                <w:rFonts w:hint="eastAsia" w:ascii="仿宋_GB2312" w:eastAsia="仿宋_GB2312"/>
                <w:b/>
                <w:sz w:val="24"/>
              </w:rPr>
              <w:t>科研成果类</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国家社科基金重大基金项目</w:t>
            </w:r>
          </w:p>
        </w:tc>
        <w:tc>
          <w:tcPr>
            <w:tcW w:w="1383" w:type="dxa"/>
            <w:tcBorders>
              <w:top w:val="single" w:color="auto" w:sz="8" w:space="0"/>
              <w:left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500分</w:t>
            </w:r>
          </w:p>
        </w:tc>
        <w:tc>
          <w:tcPr>
            <w:tcW w:w="2127" w:type="dxa"/>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著作（作者实际完成字数 每万字）</w:t>
            </w:r>
          </w:p>
        </w:tc>
        <w:tc>
          <w:tcPr>
            <w:tcW w:w="3118" w:type="dxa"/>
            <w:gridSpan w:val="2"/>
            <w:tcBorders>
              <w:top w:val="single" w:color="auto" w:sz="8" w:space="0"/>
              <w:left w:val="single" w:color="auto" w:sz="8" w:space="0"/>
              <w:right w:val="single" w:color="auto" w:sz="18" w:space="0"/>
            </w:tcBorders>
            <w:shd w:val="clear" w:color="auto" w:fill="auto"/>
            <w:vAlign w:val="center"/>
          </w:tcPr>
          <w:p>
            <w:pPr>
              <w:snapToGrid w:val="0"/>
              <w:spacing w:line="500" w:lineRule="exact"/>
              <w:jc w:val="center"/>
              <w:rPr>
                <w:rFonts w:ascii="仿宋_GB2312" w:eastAsia="仿宋_GB2312"/>
                <w:sz w:val="24"/>
              </w:rPr>
            </w:pPr>
            <w:r>
              <w:rPr>
                <w:rFonts w:hint="eastAsia" w:ascii="仿宋_GB2312" w:eastAsia="仿宋_GB2312"/>
                <w:sz w:val="24"/>
              </w:rPr>
              <w:t>权威出版机构（以当年国家社科基金文库为准）：</w:t>
            </w:r>
            <w:r>
              <w:rPr>
                <w:rFonts w:ascii="仿宋_GB2312" w:eastAsia="仿宋_GB2312"/>
                <w:sz w:val="24"/>
              </w:rPr>
              <w:t>8</w:t>
            </w:r>
            <w:r>
              <w:rPr>
                <w:rFonts w:hint="eastAsia" w:ascii="仿宋_GB2312" w:eastAsia="仿宋_GB2312"/>
                <w:sz w:val="24"/>
              </w:rPr>
              <w:t>分，非权威出版机构5分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国家社科基金重点基金项目</w:t>
            </w:r>
          </w:p>
        </w:tc>
        <w:tc>
          <w:tcPr>
            <w:tcW w:w="1383" w:type="dxa"/>
            <w:tcBorders>
              <w:top w:val="single" w:color="auto" w:sz="8" w:space="0"/>
              <w:left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200分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教材（作者实际完成字数 每万字）</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国家级规划教材</w:t>
            </w:r>
            <w:r>
              <w:rPr>
                <w:rFonts w:ascii="仿宋_GB2312" w:eastAsia="仿宋_GB2312"/>
                <w:sz w:val="24"/>
              </w:rPr>
              <w:t>10</w:t>
            </w:r>
            <w:r>
              <w:rPr>
                <w:rFonts w:hint="eastAsia" w:ascii="仿宋_GB2312" w:eastAsia="仿宋_GB2312"/>
                <w:sz w:val="24"/>
              </w:rPr>
              <w:t>分，省部级规划及权威出版社系列教材</w:t>
            </w:r>
            <w:r>
              <w:rPr>
                <w:rFonts w:ascii="仿宋_GB2312" w:eastAsia="仿宋_GB2312"/>
                <w:sz w:val="24"/>
              </w:rPr>
              <w:t>8</w:t>
            </w:r>
            <w:r>
              <w:rPr>
                <w:rFonts w:hint="eastAsia" w:ascii="仿宋_GB2312" w:eastAsia="仿宋_GB2312"/>
                <w:sz w:val="24"/>
              </w:rPr>
              <w:t>分，其他出版机构</w:t>
            </w:r>
            <w:r>
              <w:rPr>
                <w:rFonts w:ascii="仿宋_GB2312" w:eastAsia="仿宋_GB2312"/>
                <w:sz w:val="24"/>
              </w:rPr>
              <w:t>5</w:t>
            </w:r>
            <w:r>
              <w:rPr>
                <w:rFonts w:hint="eastAsia" w:ascii="仿宋_GB2312" w:eastAsia="仿宋_GB2312"/>
                <w:sz w:val="24"/>
              </w:rPr>
              <w:t>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国家社科基金一般、青年、后期资助基金项目</w:t>
            </w:r>
          </w:p>
        </w:tc>
        <w:tc>
          <w:tcPr>
            <w:tcW w:w="1383" w:type="dxa"/>
            <w:tcBorders>
              <w:top w:val="single" w:color="auto" w:sz="8" w:space="0"/>
              <w:left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150分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中国社会科学</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500分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其他国家级科研计划</w:t>
            </w:r>
          </w:p>
          <w:p>
            <w:pPr>
              <w:snapToGrid w:val="0"/>
              <w:spacing w:line="500" w:lineRule="exact"/>
              <w:jc w:val="center"/>
              <w:rPr>
                <w:rFonts w:ascii="仿宋_GB2312" w:eastAsia="仿宋_GB2312"/>
                <w:sz w:val="24"/>
              </w:rPr>
            </w:pPr>
            <w:r>
              <w:rPr>
                <w:rFonts w:hint="eastAsia" w:ascii="仿宋_GB2312" w:eastAsia="仿宋_GB2312"/>
                <w:sz w:val="24"/>
              </w:rPr>
              <w:t>（万元）</w:t>
            </w:r>
          </w:p>
        </w:tc>
        <w:tc>
          <w:tcPr>
            <w:tcW w:w="1383" w:type="dxa"/>
            <w:tcBorders>
              <w:top w:val="single" w:color="auto" w:sz="8" w:space="0"/>
              <w:left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w:t>
            </w:r>
            <w:r>
              <w:rPr>
                <w:rFonts w:ascii="仿宋_GB2312" w:eastAsia="仿宋_GB2312"/>
                <w:sz w:val="24"/>
              </w:rPr>
              <w:t>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权威核心、</w:t>
            </w:r>
            <w:r>
              <w:rPr>
                <w:rFonts w:ascii="仿宋_GB2312" w:eastAsia="仿宋_GB2312"/>
                <w:sz w:val="24"/>
              </w:rPr>
              <w:t>SSCI</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w:t>
            </w:r>
            <w:r>
              <w:rPr>
                <w:rFonts w:ascii="仿宋_GB2312" w:eastAsia="仿宋_GB2312"/>
                <w:sz w:val="24"/>
              </w:rPr>
              <w:t>20分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省部级重大基金项目</w:t>
            </w:r>
          </w:p>
        </w:tc>
        <w:tc>
          <w:tcPr>
            <w:tcW w:w="1383" w:type="dxa"/>
            <w:tcBorders>
              <w:top w:val="single" w:color="auto" w:sz="8" w:space="0"/>
              <w:left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150分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A</w:t>
            </w:r>
            <w:r>
              <w:rPr>
                <w:rFonts w:hint="eastAsia" w:ascii="仿宋_GB2312" w:eastAsia="仿宋_GB2312"/>
                <w:sz w:val="24"/>
              </w:rPr>
              <w:t>类期刊</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90</w:t>
            </w:r>
            <w:r>
              <w:rPr>
                <w:rFonts w:hint="eastAsia" w:ascii="仿宋_GB2312" w:eastAsia="仿宋_GB2312"/>
                <w:sz w:val="24"/>
              </w:rPr>
              <w:t>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省部级重点基金项目</w:t>
            </w:r>
          </w:p>
        </w:tc>
        <w:tc>
          <w:tcPr>
            <w:tcW w:w="1383" w:type="dxa"/>
            <w:tcBorders>
              <w:top w:val="single" w:color="auto" w:sz="8" w:space="0"/>
              <w:left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100分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B</w:t>
            </w:r>
            <w:r>
              <w:rPr>
                <w:rFonts w:hint="eastAsia" w:ascii="仿宋_GB2312" w:eastAsia="仿宋_GB2312"/>
                <w:sz w:val="24"/>
              </w:rPr>
              <w:t>类期刊</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60</w:t>
            </w:r>
            <w:r>
              <w:rPr>
                <w:rFonts w:hint="eastAsia" w:ascii="仿宋_GB2312" w:eastAsia="仿宋_GB2312"/>
                <w:sz w:val="24"/>
              </w:rPr>
              <w:t>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省部级一般基金项目</w:t>
            </w:r>
          </w:p>
        </w:tc>
        <w:tc>
          <w:tcPr>
            <w:tcW w:w="1383" w:type="dxa"/>
            <w:tcBorders>
              <w:top w:val="single" w:color="auto" w:sz="8" w:space="0"/>
              <w:left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60分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C类刊物</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50分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right w:val="single" w:color="auto" w:sz="8" w:space="0"/>
            </w:tcBorders>
            <w:shd w:val="clear" w:color="auto" w:fill="auto"/>
            <w:noWrap/>
            <w:vAlign w:val="center"/>
          </w:tcPr>
          <w:p>
            <w:pPr>
              <w:snapToGrid w:val="0"/>
              <w:spacing w:line="500" w:lineRule="exact"/>
              <w:rPr>
                <w:rFonts w:ascii="仿宋_GB2312" w:eastAsia="仿宋_GB2312"/>
                <w:sz w:val="24"/>
              </w:rPr>
            </w:pPr>
            <w:r>
              <w:rPr>
                <w:rFonts w:ascii="仿宋_GB2312" w:eastAsia="仿宋_GB2312"/>
                <w:sz w:val="24"/>
              </w:rPr>
              <w:t>其他校外项目</w:t>
            </w:r>
            <w:r>
              <w:rPr>
                <w:rFonts w:hint="eastAsia" w:ascii="仿宋_GB2312" w:eastAsia="仿宋_GB2312"/>
                <w:sz w:val="24"/>
              </w:rPr>
              <w:t>（万元）</w:t>
            </w:r>
          </w:p>
        </w:tc>
        <w:tc>
          <w:tcPr>
            <w:tcW w:w="1383" w:type="dxa"/>
            <w:tcBorders>
              <w:top w:val="single" w:color="auto" w:sz="8" w:space="0"/>
              <w:left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5</w:t>
            </w:r>
            <w:r>
              <w:rPr>
                <w:rFonts w:hint="eastAsia" w:ascii="仿宋_GB2312" w:eastAsia="仿宋_GB2312"/>
                <w:sz w:val="24"/>
              </w:rPr>
              <w:t>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中文核心期刊、CSSCI扩展版及集刊</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15</w:t>
            </w:r>
            <w:r>
              <w:rPr>
                <w:rFonts w:hint="eastAsia" w:ascii="仿宋_GB2312" w:eastAsia="仿宋_GB2312"/>
                <w:sz w:val="24"/>
              </w:rPr>
              <w:t>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p>
        </w:tc>
        <w:tc>
          <w:tcPr>
            <w:tcW w:w="1383" w:type="dxa"/>
            <w:tcBorders>
              <w:top w:val="single" w:color="auto" w:sz="8" w:space="0"/>
              <w:left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p>
        </w:tc>
        <w:tc>
          <w:tcPr>
            <w:tcW w:w="3119" w:type="dxa"/>
            <w:gridSpan w:val="2"/>
            <w:tcBorders>
              <w:top w:val="single" w:color="auto" w:sz="8" w:space="0"/>
              <w:left w:val="single" w:color="auto" w:sz="18" w:space="0"/>
              <w:bottom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其他公开出版的学术论文（只计1篇）</w:t>
            </w:r>
          </w:p>
        </w:tc>
        <w:tc>
          <w:tcPr>
            <w:tcW w:w="2126" w:type="dxa"/>
            <w:tcBorders>
              <w:top w:val="single" w:color="auto" w:sz="8" w:space="0"/>
              <w:bottom w:val="single" w:color="auto" w:sz="1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5分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9" w:type="dxa"/>
            <w:gridSpan w:val="2"/>
            <w:tcBorders>
              <w:top w:val="single" w:color="auto" w:sz="18" w:space="0"/>
              <w:left w:val="single" w:color="auto" w:sz="1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b/>
                <w:sz w:val="24"/>
              </w:rPr>
            </w:pPr>
            <w:r>
              <w:rPr>
                <w:rFonts w:hint="eastAsia" w:ascii="仿宋_GB2312" w:eastAsia="仿宋_GB2312"/>
                <w:b/>
                <w:sz w:val="24"/>
              </w:rPr>
              <w:t>社会科学成果奖</w:t>
            </w:r>
          </w:p>
        </w:tc>
        <w:tc>
          <w:tcPr>
            <w:tcW w:w="5245" w:type="dxa"/>
            <w:gridSpan w:val="3"/>
            <w:tcBorders>
              <w:top w:val="single" w:color="auto" w:sz="8" w:space="0"/>
              <w:left w:val="single" w:color="auto" w:sz="18" w:space="0"/>
              <w:right w:val="single" w:color="auto" w:sz="18" w:space="0"/>
            </w:tcBorders>
            <w:shd w:val="clear" w:color="auto" w:fill="auto"/>
            <w:noWrap/>
            <w:vAlign w:val="center"/>
          </w:tcPr>
          <w:p>
            <w:pPr>
              <w:snapToGrid w:val="0"/>
              <w:spacing w:line="500" w:lineRule="exact"/>
              <w:jc w:val="center"/>
              <w:rPr>
                <w:rFonts w:ascii="仿宋_GB2312" w:eastAsia="仿宋_GB2312"/>
                <w:b/>
                <w:sz w:val="24"/>
              </w:rPr>
            </w:pPr>
            <w:r>
              <w:rPr>
                <w:rFonts w:hint="eastAsia" w:ascii="仿宋_GB2312" w:eastAsia="仿宋_GB2312"/>
                <w:b/>
                <w:sz w:val="24"/>
              </w:rPr>
              <w:t>教学成果奖</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教育部社科一等奖（排名前五）</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500分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国家级教学成果一等奖（排名前五）</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500分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教育部社科二等奖（排名前五）</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200分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国家级教学成果二等奖（排名前五）</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200分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教育部社科三等奖（排名前五）</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100分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国家级教学成果三等奖（排名前五）</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省级社科一等奖（排名前五）</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200分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省级教学成果特等奖（排名前五）</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200分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省级社科二等奖（排名前三）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150分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省级教学成果一等奖（排名前五）</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150分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省级社科三等奖（排名前三）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100分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省级教学成果二等奖（排名前三）</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校级社科一等奖（排名前三）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30分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校级教学成果一等奖（排名前三）</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50分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校级社科二等奖（排名前三）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20分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校级教学成果二等奖（排名前三）</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30分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校级社科三等奖（排名前三）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校级教学成果三等奖（排名前三）</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20分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重要咨政建言</w:t>
            </w:r>
            <w:r>
              <w:rPr>
                <w:rFonts w:hint="eastAsia" w:ascii="仿宋_GB2312" w:eastAsia="仿宋_GB2312"/>
                <w:sz w:val="24"/>
              </w:rPr>
              <w:t>/行业重要贡献</w:t>
            </w:r>
          </w:p>
        </w:tc>
        <w:tc>
          <w:tcPr>
            <w:tcW w:w="1383" w:type="dxa"/>
            <w:tcBorders>
              <w:top w:val="single" w:color="auto" w:sz="8" w:space="0"/>
              <w:left w:val="single" w:color="auto" w:sz="8" w:space="0"/>
              <w:bottom w:val="single" w:color="auto" w:sz="1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w:t>
            </w:r>
            <w:r>
              <w:rPr>
                <w:rFonts w:ascii="仿宋_GB2312" w:eastAsia="仿宋_GB2312"/>
                <w:sz w:val="24"/>
              </w:rPr>
              <w:t>00分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79" w:type="dxa"/>
            <w:gridSpan w:val="2"/>
            <w:tcBorders>
              <w:top w:val="single" w:color="auto" w:sz="8" w:space="0"/>
              <w:left w:val="single" w:color="auto" w:sz="1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b/>
                <w:sz w:val="24"/>
              </w:rPr>
              <w:t>教学竞赛类</w:t>
            </w:r>
          </w:p>
        </w:tc>
        <w:tc>
          <w:tcPr>
            <w:tcW w:w="5245" w:type="dxa"/>
            <w:gridSpan w:val="3"/>
            <w:tcBorders>
              <w:top w:val="single" w:color="auto" w:sz="18" w:space="0"/>
              <w:left w:val="single" w:color="auto" w:sz="18" w:space="0"/>
              <w:right w:val="single" w:color="auto" w:sz="18" w:space="0"/>
            </w:tcBorders>
            <w:shd w:val="clear" w:color="auto" w:fill="auto"/>
            <w:noWrap/>
            <w:vAlign w:val="center"/>
          </w:tcPr>
          <w:p>
            <w:pPr>
              <w:snapToGrid w:val="0"/>
              <w:spacing w:line="500" w:lineRule="exact"/>
              <w:jc w:val="center"/>
              <w:rPr>
                <w:rFonts w:ascii="仿宋_GB2312" w:eastAsia="仿宋_GB2312"/>
                <w:b/>
                <w:sz w:val="24"/>
              </w:rPr>
            </w:pPr>
            <w:r>
              <w:rPr>
                <w:rFonts w:hint="eastAsia" w:ascii="仿宋_GB2312" w:eastAsia="仿宋_GB2312"/>
                <w:b/>
                <w:sz w:val="24"/>
              </w:rPr>
              <w:t>教改项目类</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省级教学类竞赛一等奖（排名前三）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3</w:t>
            </w:r>
            <w:r>
              <w:rPr>
                <w:rFonts w:hint="eastAsia" w:ascii="仿宋_GB2312" w:eastAsia="仿宋_GB2312"/>
                <w:sz w:val="24"/>
              </w:rPr>
              <w:t>0分</w:t>
            </w:r>
          </w:p>
        </w:tc>
        <w:tc>
          <w:tcPr>
            <w:tcW w:w="3119" w:type="dxa"/>
            <w:gridSpan w:val="2"/>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国家级重点教改项目申报（参加学校正式答辩或评审）/立项</w:t>
            </w:r>
          </w:p>
        </w:tc>
        <w:tc>
          <w:tcPr>
            <w:tcW w:w="2126" w:type="dxa"/>
            <w:tcBorders>
              <w:top w:val="single" w:color="auto" w:sz="8" w:space="0"/>
              <w:left w:val="single" w:color="auto" w:sz="8" w:space="0"/>
              <w:right w:val="single" w:color="auto" w:sz="18" w:space="0"/>
            </w:tcBorders>
            <w:shd w:val="clear" w:color="auto" w:fill="auto"/>
            <w:vAlign w:val="center"/>
          </w:tcPr>
          <w:p>
            <w:pPr>
              <w:snapToGrid w:val="0"/>
              <w:spacing w:line="500" w:lineRule="exact"/>
              <w:jc w:val="center"/>
              <w:rPr>
                <w:rFonts w:ascii="仿宋_GB2312" w:eastAsia="仿宋_GB2312"/>
                <w:sz w:val="24"/>
              </w:rPr>
            </w:pPr>
            <w:r>
              <w:rPr>
                <w:rFonts w:hint="eastAsia" w:ascii="仿宋_GB2312" w:eastAsia="仿宋_GB2312"/>
                <w:sz w:val="24"/>
              </w:rPr>
              <w:t>20分/</w:t>
            </w:r>
            <w:r>
              <w:rPr>
                <w:rFonts w:ascii="仿宋_GB2312" w:eastAsia="仿宋_GB2312"/>
                <w:sz w:val="24"/>
              </w:rPr>
              <w:t>200分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省级教学类竞赛二等奖（排名前三）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highlight w:val="yellow"/>
              </w:rPr>
              <w:t>2</w:t>
            </w:r>
            <w:r>
              <w:rPr>
                <w:rFonts w:hint="eastAsia" w:ascii="仿宋_GB2312" w:eastAsia="仿宋_GB2312"/>
                <w:sz w:val="24"/>
                <w:highlight w:val="yellow"/>
              </w:rPr>
              <w:t>0分</w:t>
            </w:r>
          </w:p>
        </w:tc>
        <w:tc>
          <w:tcPr>
            <w:tcW w:w="3119" w:type="dxa"/>
            <w:gridSpan w:val="2"/>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国家级一般教改项目申报（参加学校正式答辩或评审）/立项</w:t>
            </w:r>
          </w:p>
        </w:tc>
        <w:tc>
          <w:tcPr>
            <w:tcW w:w="2126" w:type="dxa"/>
            <w:tcBorders>
              <w:top w:val="single" w:color="auto" w:sz="8" w:space="0"/>
              <w:left w:val="single" w:color="auto" w:sz="8" w:space="0"/>
              <w:right w:val="single" w:color="auto" w:sz="18" w:space="0"/>
            </w:tcBorders>
            <w:shd w:val="clear" w:color="auto" w:fill="auto"/>
            <w:vAlign w:val="center"/>
          </w:tcPr>
          <w:p>
            <w:pPr>
              <w:snapToGrid w:val="0"/>
              <w:spacing w:line="500" w:lineRule="exact"/>
              <w:jc w:val="center"/>
              <w:rPr>
                <w:rFonts w:ascii="仿宋_GB2312" w:eastAsia="仿宋_GB2312"/>
                <w:sz w:val="24"/>
              </w:rPr>
            </w:pPr>
            <w:r>
              <w:rPr>
                <w:rFonts w:hint="eastAsia" w:ascii="仿宋_GB2312" w:eastAsia="仿宋_GB2312"/>
                <w:sz w:val="24"/>
              </w:rPr>
              <w:t>1</w:t>
            </w:r>
            <w:r>
              <w:rPr>
                <w:rFonts w:ascii="仿宋_GB2312" w:eastAsia="仿宋_GB2312"/>
                <w:sz w:val="24"/>
              </w:rPr>
              <w:t>5分</w:t>
            </w:r>
            <w:r>
              <w:rPr>
                <w:rFonts w:hint="eastAsia" w:ascii="仿宋_GB2312" w:eastAsia="仿宋_GB2312"/>
                <w:sz w:val="24"/>
              </w:rPr>
              <w:t>/</w:t>
            </w:r>
            <w:r>
              <w:rPr>
                <w:rFonts w:ascii="仿宋_GB2312" w:eastAsia="仿宋_GB2312"/>
                <w:sz w:val="24"/>
              </w:rPr>
              <w:t>150分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省级教学类竞赛三等奖（排名前三）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1</w:t>
            </w:r>
            <w:r>
              <w:rPr>
                <w:rFonts w:hint="eastAsia" w:ascii="仿宋_GB2312" w:eastAsia="仿宋_GB2312"/>
                <w:sz w:val="24"/>
              </w:rPr>
              <w:t>0分</w:t>
            </w:r>
          </w:p>
        </w:tc>
        <w:tc>
          <w:tcPr>
            <w:tcW w:w="3119" w:type="dxa"/>
            <w:gridSpan w:val="2"/>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省部级重点教改项目申报（参加学校正式答辩或评审）/立项</w:t>
            </w:r>
          </w:p>
        </w:tc>
        <w:tc>
          <w:tcPr>
            <w:tcW w:w="2126" w:type="dxa"/>
            <w:tcBorders>
              <w:top w:val="single" w:color="auto" w:sz="8" w:space="0"/>
              <w:left w:val="single" w:color="auto" w:sz="8" w:space="0"/>
              <w:right w:val="single" w:color="auto" w:sz="18" w:space="0"/>
            </w:tcBorders>
            <w:shd w:val="clear" w:color="auto" w:fill="auto"/>
            <w:vAlign w:val="center"/>
          </w:tcPr>
          <w:p>
            <w:pPr>
              <w:snapToGrid w:val="0"/>
              <w:spacing w:line="500" w:lineRule="exact"/>
              <w:jc w:val="center"/>
              <w:rPr>
                <w:rFonts w:ascii="仿宋_GB2312" w:eastAsia="仿宋_GB2312"/>
                <w:sz w:val="24"/>
              </w:rPr>
            </w:pPr>
            <w:r>
              <w:rPr>
                <w:rFonts w:hint="eastAsia" w:ascii="仿宋_GB2312" w:eastAsia="仿宋_GB2312"/>
                <w:sz w:val="24"/>
              </w:rPr>
              <w:t>1</w:t>
            </w:r>
            <w:r>
              <w:rPr>
                <w:rFonts w:ascii="仿宋_GB2312" w:eastAsia="仿宋_GB2312"/>
                <w:sz w:val="24"/>
              </w:rPr>
              <w:t>0分</w:t>
            </w:r>
            <w:r>
              <w:rPr>
                <w:rFonts w:hint="eastAsia" w:ascii="仿宋_GB2312" w:eastAsia="仿宋_GB2312"/>
                <w:sz w:val="24"/>
              </w:rPr>
              <w:t>/</w:t>
            </w:r>
            <w:r>
              <w:rPr>
                <w:rFonts w:ascii="仿宋_GB2312" w:eastAsia="仿宋_GB2312"/>
                <w:sz w:val="24"/>
              </w:rPr>
              <w:t>100分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校级教学类竞赛特等奖（微课、课程思政等）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3</w:t>
            </w:r>
            <w:r>
              <w:rPr>
                <w:rFonts w:ascii="仿宋_GB2312" w:eastAsia="仿宋_GB2312"/>
                <w:sz w:val="24"/>
              </w:rPr>
              <w:t>0分</w:t>
            </w:r>
          </w:p>
        </w:tc>
        <w:tc>
          <w:tcPr>
            <w:tcW w:w="3119" w:type="dxa"/>
            <w:gridSpan w:val="2"/>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省部级一般教改项目申报（参加学院正式答辩或评审）/立项</w:t>
            </w:r>
          </w:p>
        </w:tc>
        <w:tc>
          <w:tcPr>
            <w:tcW w:w="2126" w:type="dxa"/>
            <w:tcBorders>
              <w:top w:val="single" w:color="auto" w:sz="8" w:space="0"/>
              <w:left w:val="single" w:color="auto" w:sz="8" w:space="0"/>
              <w:right w:val="single" w:color="auto" w:sz="18" w:space="0"/>
            </w:tcBorders>
            <w:shd w:val="clear" w:color="auto" w:fill="auto"/>
            <w:vAlign w:val="center"/>
          </w:tcPr>
          <w:p>
            <w:pPr>
              <w:snapToGrid w:val="0"/>
              <w:spacing w:line="500" w:lineRule="exact"/>
              <w:jc w:val="center"/>
              <w:rPr>
                <w:rFonts w:ascii="仿宋_GB2312" w:eastAsia="仿宋_GB2312"/>
                <w:sz w:val="24"/>
              </w:rPr>
            </w:pPr>
            <w:r>
              <w:rPr>
                <w:rFonts w:hint="eastAsia" w:ascii="仿宋_GB2312" w:eastAsia="仿宋_GB2312"/>
                <w:sz w:val="24"/>
              </w:rPr>
              <w:t>5分/</w:t>
            </w:r>
            <w:r>
              <w:rPr>
                <w:rFonts w:ascii="仿宋_GB2312" w:eastAsia="仿宋_GB2312"/>
                <w:sz w:val="24"/>
              </w:rPr>
              <w:t>60分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校级教学类竞赛一等奖（微课、课程思政等）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highlight w:val="yellow"/>
              </w:rPr>
              <w:t>25分</w:t>
            </w:r>
          </w:p>
        </w:tc>
        <w:tc>
          <w:tcPr>
            <w:tcW w:w="3119" w:type="dxa"/>
            <w:gridSpan w:val="2"/>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校级教改项目（教材、主题创新区、企业实习）申报（参加学院正式答辩或评审）/立项</w:t>
            </w:r>
          </w:p>
        </w:tc>
        <w:tc>
          <w:tcPr>
            <w:tcW w:w="2126" w:type="dxa"/>
            <w:tcBorders>
              <w:top w:val="single" w:color="auto" w:sz="8" w:space="0"/>
              <w:left w:val="single" w:color="auto" w:sz="8" w:space="0"/>
              <w:right w:val="single" w:color="auto" w:sz="18" w:space="0"/>
            </w:tcBorders>
            <w:shd w:val="clear" w:color="auto" w:fill="auto"/>
            <w:vAlign w:val="center"/>
          </w:tcPr>
          <w:p>
            <w:pPr>
              <w:snapToGrid w:val="0"/>
              <w:spacing w:line="500" w:lineRule="exact"/>
              <w:jc w:val="center"/>
              <w:rPr>
                <w:rFonts w:ascii="仿宋_GB2312" w:eastAsia="仿宋_GB2312"/>
                <w:sz w:val="24"/>
              </w:rPr>
            </w:pPr>
            <w:r>
              <w:rPr>
                <w:rFonts w:hint="eastAsia" w:ascii="仿宋_GB2312" w:eastAsia="仿宋_GB2312"/>
                <w:sz w:val="24"/>
              </w:rPr>
              <w:t>5分/</w:t>
            </w:r>
            <w:r>
              <w:rPr>
                <w:rFonts w:ascii="仿宋_GB2312" w:eastAsia="仿宋_GB2312"/>
                <w:sz w:val="24"/>
              </w:rPr>
              <w:t>50分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校级教学类竞赛二等奖（微课、课程思政等）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1</w:t>
            </w:r>
            <w:r>
              <w:rPr>
                <w:rFonts w:ascii="仿宋_GB2312" w:eastAsia="仿宋_GB2312"/>
                <w:sz w:val="24"/>
              </w:rPr>
              <w:t>5分</w:t>
            </w:r>
          </w:p>
        </w:tc>
        <w:tc>
          <w:tcPr>
            <w:tcW w:w="5245" w:type="dxa"/>
            <w:gridSpan w:val="3"/>
            <w:tcBorders>
              <w:top w:val="single" w:color="auto" w:sz="8" w:space="0"/>
              <w:left w:val="single" w:color="auto" w:sz="18" w:space="0"/>
              <w:right w:val="single" w:color="auto" w:sz="18" w:space="0"/>
            </w:tcBorders>
            <w:shd w:val="clear" w:color="auto" w:fill="auto"/>
            <w:noWrap/>
            <w:vAlign w:val="center"/>
          </w:tcPr>
          <w:p>
            <w:pPr>
              <w:snapToGrid w:val="0"/>
              <w:spacing w:line="500" w:lineRule="exact"/>
              <w:jc w:val="center"/>
              <w:rPr>
                <w:rFonts w:ascii="仿宋_GB2312" w:eastAsia="仿宋_GB2312"/>
                <w:b/>
                <w:sz w:val="24"/>
              </w:rPr>
            </w:pPr>
            <w:r>
              <w:rPr>
                <w:rFonts w:hint="eastAsia" w:ascii="仿宋_GB2312" w:eastAsia="仿宋_GB2312"/>
                <w:b/>
                <w:sz w:val="24"/>
              </w:rPr>
              <w:t>教学名师类</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校级教学类竞赛三等奖（微课、课程思政等）</w:t>
            </w: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10分</w:t>
            </w: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国家级教学名师</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50</w:t>
            </w:r>
            <w:r>
              <w:rPr>
                <w:rFonts w:ascii="仿宋_GB2312" w:eastAsia="仿宋_GB2312"/>
                <w:sz w:val="24"/>
              </w:rPr>
              <w:t>0</w:t>
            </w:r>
            <w:r>
              <w:rPr>
                <w:rFonts w:hint="eastAsia" w:ascii="仿宋_GB2312" w:eastAsia="仿宋_GB2312"/>
                <w:sz w:val="24"/>
              </w:rPr>
              <w:t>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省级教学名师</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20</w:t>
            </w:r>
            <w:r>
              <w:rPr>
                <w:rFonts w:ascii="仿宋_GB2312" w:eastAsia="仿宋_GB2312"/>
                <w:sz w:val="24"/>
              </w:rPr>
              <w:t>0</w:t>
            </w:r>
            <w:r>
              <w:rPr>
                <w:rFonts w:hint="eastAsia" w:ascii="仿宋_GB2312" w:eastAsia="仿宋_GB2312"/>
                <w:sz w:val="24"/>
              </w:rPr>
              <w:t>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596" w:type="dxa"/>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p>
        </w:tc>
        <w:tc>
          <w:tcPr>
            <w:tcW w:w="1383" w:type="dxa"/>
            <w:tcBorders>
              <w:top w:val="single" w:color="auto" w:sz="8" w:space="0"/>
              <w:left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p>
        </w:tc>
        <w:tc>
          <w:tcPr>
            <w:tcW w:w="3119" w:type="dxa"/>
            <w:gridSpan w:val="2"/>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校级教学名师</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50分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9224" w:type="dxa"/>
            <w:gridSpan w:val="5"/>
            <w:tcBorders>
              <w:top w:val="single" w:color="auto" w:sz="18" w:space="0"/>
              <w:left w:val="single" w:color="auto" w:sz="1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b/>
                <w:sz w:val="24"/>
              </w:rPr>
            </w:pPr>
            <w:r>
              <w:rPr>
                <w:rFonts w:hint="eastAsia" w:ascii="仿宋_GB2312" w:eastAsia="仿宋_GB2312"/>
                <w:b/>
                <w:sz w:val="24"/>
              </w:rPr>
              <w:t>教学工程类项目</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7098" w:type="dxa"/>
            <w:gridSpan w:val="4"/>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国家级一流课程项目申报</w:t>
            </w:r>
            <w:r>
              <w:rPr>
                <w:rFonts w:hint="eastAsia" w:ascii="仿宋_GB2312" w:eastAsia="仿宋_GB2312"/>
                <w:sz w:val="24"/>
              </w:rPr>
              <w:t>/立项</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2</w:t>
            </w:r>
            <w:r>
              <w:rPr>
                <w:rFonts w:ascii="仿宋_GB2312" w:eastAsia="仿宋_GB2312"/>
                <w:sz w:val="24"/>
              </w:rPr>
              <w:t>0分</w:t>
            </w:r>
            <w:r>
              <w:rPr>
                <w:rFonts w:hint="eastAsia" w:ascii="仿宋_GB2312" w:eastAsia="仿宋_GB2312"/>
                <w:sz w:val="24"/>
              </w:rPr>
              <w:t>/</w:t>
            </w:r>
            <w:r>
              <w:rPr>
                <w:rFonts w:ascii="仿宋_GB2312" w:eastAsia="仿宋_GB2312"/>
                <w:sz w:val="24"/>
              </w:rPr>
              <w:t>200分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7098" w:type="dxa"/>
            <w:gridSpan w:val="4"/>
            <w:tcBorders>
              <w:top w:val="single" w:color="auto" w:sz="8" w:space="0"/>
              <w:lef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国家级其他类别教学类工程项目申报</w:t>
            </w:r>
            <w:r>
              <w:rPr>
                <w:rFonts w:hint="eastAsia" w:ascii="仿宋_GB2312" w:eastAsia="仿宋_GB2312"/>
                <w:sz w:val="24"/>
              </w:rPr>
              <w:t>/立项</w:t>
            </w:r>
          </w:p>
        </w:tc>
        <w:tc>
          <w:tcPr>
            <w:tcW w:w="2126" w:type="dxa"/>
            <w:tcBorders>
              <w:top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highlight w:val="yellow"/>
              </w:rPr>
            </w:pPr>
            <w:r>
              <w:rPr>
                <w:rFonts w:hint="eastAsia" w:ascii="仿宋_GB2312" w:eastAsia="仿宋_GB2312"/>
                <w:sz w:val="24"/>
                <w:highlight w:val="yellow"/>
              </w:rPr>
              <w:t>1</w:t>
            </w:r>
            <w:r>
              <w:rPr>
                <w:rFonts w:ascii="仿宋_GB2312" w:eastAsia="仿宋_GB2312"/>
                <w:sz w:val="24"/>
                <w:highlight w:val="yellow"/>
              </w:rPr>
              <w:t>0分</w:t>
            </w:r>
            <w:r>
              <w:rPr>
                <w:rFonts w:hint="eastAsia" w:ascii="仿宋_GB2312" w:eastAsia="仿宋_GB2312"/>
                <w:sz w:val="24"/>
                <w:highlight w:val="yellow"/>
              </w:rPr>
              <w:t>/</w:t>
            </w:r>
            <w:r>
              <w:rPr>
                <w:rFonts w:ascii="仿宋_GB2312" w:eastAsia="仿宋_GB2312"/>
                <w:sz w:val="24"/>
                <w:highlight w:val="yellow"/>
              </w:rPr>
              <w:t>100分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7098" w:type="dxa"/>
            <w:gridSpan w:val="4"/>
            <w:tcBorders>
              <w:top w:val="single" w:color="auto" w:sz="8" w:space="0"/>
              <w:left w:val="single" w:color="auto" w:sz="18" w:space="0"/>
              <w:bottom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省部级在线课程项目申报</w:t>
            </w:r>
            <w:r>
              <w:rPr>
                <w:rFonts w:hint="eastAsia" w:ascii="仿宋_GB2312" w:eastAsia="仿宋_GB2312"/>
                <w:sz w:val="24"/>
              </w:rPr>
              <w:t>/立项</w:t>
            </w:r>
          </w:p>
        </w:tc>
        <w:tc>
          <w:tcPr>
            <w:tcW w:w="2126" w:type="dxa"/>
            <w:tcBorders>
              <w:top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highlight w:val="yellow"/>
              </w:rPr>
            </w:pPr>
            <w:r>
              <w:rPr>
                <w:rFonts w:hint="eastAsia" w:ascii="仿宋_GB2312" w:eastAsia="仿宋_GB2312"/>
                <w:sz w:val="24"/>
                <w:highlight w:val="yellow"/>
              </w:rPr>
              <w:t>1</w:t>
            </w:r>
            <w:r>
              <w:rPr>
                <w:rFonts w:ascii="仿宋_GB2312" w:eastAsia="仿宋_GB2312"/>
                <w:sz w:val="24"/>
                <w:highlight w:val="yellow"/>
              </w:rPr>
              <w:t>0分</w:t>
            </w:r>
            <w:r>
              <w:rPr>
                <w:rFonts w:hint="eastAsia" w:ascii="仿宋_GB2312" w:eastAsia="仿宋_GB2312"/>
                <w:sz w:val="24"/>
                <w:highlight w:val="yellow"/>
              </w:rPr>
              <w:t>/</w:t>
            </w:r>
            <w:r>
              <w:rPr>
                <w:rFonts w:ascii="仿宋_GB2312" w:eastAsia="仿宋_GB2312"/>
                <w:sz w:val="24"/>
                <w:highlight w:val="yellow"/>
              </w:rPr>
              <w:t>100分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7098" w:type="dxa"/>
            <w:gridSpan w:val="4"/>
            <w:tcBorders>
              <w:top w:val="single" w:color="auto" w:sz="8" w:space="0"/>
              <w:left w:val="single" w:color="auto" w:sz="18" w:space="0"/>
              <w:bottom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ascii="仿宋_GB2312" w:eastAsia="仿宋_GB2312"/>
                <w:sz w:val="24"/>
              </w:rPr>
              <w:t>省级其他类别教学类工程项目申报</w:t>
            </w:r>
            <w:r>
              <w:rPr>
                <w:rFonts w:hint="eastAsia" w:ascii="仿宋_GB2312" w:eastAsia="仿宋_GB2312"/>
                <w:sz w:val="24"/>
              </w:rPr>
              <w:t>/立项</w:t>
            </w:r>
          </w:p>
        </w:tc>
        <w:tc>
          <w:tcPr>
            <w:tcW w:w="2126" w:type="dxa"/>
            <w:tcBorders>
              <w:top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6分/</w:t>
            </w:r>
            <w:r>
              <w:rPr>
                <w:rFonts w:ascii="仿宋_GB2312" w:eastAsia="仿宋_GB2312"/>
                <w:sz w:val="24"/>
              </w:rPr>
              <w:t>60分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7098" w:type="dxa"/>
            <w:gridSpan w:val="4"/>
            <w:tcBorders>
              <w:top w:val="single" w:color="auto" w:sz="8" w:space="0"/>
              <w:left w:val="single" w:color="auto" w:sz="18" w:space="0"/>
              <w:bottom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校级精品课程建设项目申报/立项</w:t>
            </w:r>
          </w:p>
        </w:tc>
        <w:tc>
          <w:tcPr>
            <w:tcW w:w="2126" w:type="dxa"/>
            <w:tcBorders>
              <w:top w:val="single" w:color="auto" w:sz="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5分/</w:t>
            </w:r>
            <w:r>
              <w:rPr>
                <w:rFonts w:ascii="仿宋_GB2312" w:eastAsia="仿宋_GB2312"/>
                <w:sz w:val="24"/>
              </w:rPr>
              <w:t>30分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9224" w:type="dxa"/>
            <w:gridSpan w:val="5"/>
            <w:tcBorders>
              <w:top w:val="single" w:color="auto" w:sz="8" w:space="0"/>
              <w:left w:val="single" w:color="auto" w:sz="18" w:space="0"/>
              <w:bottom w:val="single" w:color="auto" w:sz="8" w:space="0"/>
              <w:right w:val="single" w:color="auto" w:sz="18" w:space="0"/>
            </w:tcBorders>
            <w:shd w:val="clear" w:color="auto" w:fill="auto"/>
            <w:noWrap/>
            <w:vAlign w:val="center"/>
          </w:tcPr>
          <w:p>
            <w:pPr>
              <w:snapToGrid w:val="0"/>
              <w:spacing w:line="500" w:lineRule="exact"/>
              <w:jc w:val="center"/>
              <w:rPr>
                <w:rFonts w:ascii="仿宋_GB2312" w:eastAsia="仿宋_GB2312"/>
                <w:b/>
                <w:sz w:val="24"/>
              </w:rPr>
            </w:pPr>
            <w:r>
              <w:rPr>
                <w:rFonts w:hint="eastAsia" w:ascii="仿宋_GB2312" w:eastAsia="仿宋_GB2312"/>
                <w:b/>
                <w:sz w:val="24"/>
              </w:rPr>
              <w:t>指导本院学生竞赛（参照教务处、学生处相关规定）</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7098" w:type="dxa"/>
            <w:gridSpan w:val="4"/>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指导大学生创新训练、自由探索项目及其他校级竞赛</w:t>
            </w:r>
          </w:p>
        </w:tc>
        <w:tc>
          <w:tcPr>
            <w:tcW w:w="2126" w:type="dxa"/>
            <w:tcBorders>
              <w:top w:val="single" w:color="auto" w:sz="8" w:space="0"/>
              <w:left w:val="single" w:color="auto" w:sz="8" w:space="0"/>
              <w:bottom w:val="single" w:color="auto" w:sz="8" w:space="0"/>
              <w:right w:val="single" w:color="auto" w:sz="18" w:space="0"/>
            </w:tcBorders>
            <w:shd w:val="clear" w:color="auto" w:fill="auto"/>
            <w:vAlign w:val="center"/>
          </w:tcPr>
          <w:p>
            <w:pPr>
              <w:snapToGrid w:val="0"/>
              <w:spacing w:line="500" w:lineRule="exact"/>
              <w:jc w:val="center"/>
              <w:rPr>
                <w:rFonts w:ascii="仿宋_GB2312" w:eastAsia="仿宋_GB2312"/>
                <w:sz w:val="24"/>
              </w:rPr>
            </w:pPr>
            <w:r>
              <w:rPr>
                <w:rFonts w:hint="eastAsia" w:ascii="仿宋_GB2312" w:eastAsia="仿宋_GB2312"/>
                <w:sz w:val="24"/>
              </w:rPr>
              <w:t>5分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098" w:type="dxa"/>
            <w:gridSpan w:val="4"/>
            <w:tcBorders>
              <w:top w:val="single" w:color="auto" w:sz="8" w:space="0"/>
              <w:left w:val="single" w:color="auto" w:sz="18" w:space="0"/>
              <w:bottom w:val="single" w:color="auto" w:sz="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指导学生国家级及以上专业竞赛（指导/获奖）</w:t>
            </w:r>
          </w:p>
        </w:tc>
        <w:tc>
          <w:tcPr>
            <w:tcW w:w="2126" w:type="dxa"/>
            <w:tcBorders>
              <w:top w:val="single" w:color="auto" w:sz="8" w:space="0"/>
              <w:left w:val="single" w:color="auto" w:sz="8" w:space="0"/>
              <w:bottom w:val="single" w:color="auto" w:sz="8" w:space="0"/>
              <w:right w:val="single" w:color="auto" w:sz="18" w:space="0"/>
            </w:tcBorders>
            <w:shd w:val="clear" w:color="auto" w:fill="auto"/>
            <w:vAlign w:val="center"/>
          </w:tcPr>
          <w:p>
            <w:pPr>
              <w:snapToGrid w:val="0"/>
              <w:spacing w:line="500" w:lineRule="exact"/>
              <w:jc w:val="center"/>
              <w:rPr>
                <w:rFonts w:ascii="仿宋_GB2312" w:eastAsia="仿宋_GB2312"/>
                <w:sz w:val="24"/>
              </w:rPr>
            </w:pPr>
            <w:r>
              <w:rPr>
                <w:rFonts w:ascii="仿宋_GB2312" w:eastAsia="仿宋_GB2312"/>
                <w:sz w:val="24"/>
              </w:rPr>
              <w:t>10分</w:t>
            </w:r>
            <w:r>
              <w:rPr>
                <w:rFonts w:hint="eastAsia" w:ascii="仿宋_GB2312" w:eastAsia="仿宋_GB2312"/>
                <w:sz w:val="24"/>
              </w:rPr>
              <w:t>/</w:t>
            </w:r>
            <w:r>
              <w:rPr>
                <w:rFonts w:ascii="仿宋_GB2312" w:eastAsia="仿宋_GB2312"/>
                <w:sz w:val="24"/>
              </w:rPr>
              <w:t>40分</w:t>
            </w:r>
          </w:p>
        </w:tc>
      </w:tr>
      <w:tr>
        <w:tblPrEx>
          <w:tblBorders>
            <w:top w:val="none" w:color="auto" w:sz="0"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098" w:type="dxa"/>
            <w:gridSpan w:val="4"/>
            <w:tcBorders>
              <w:top w:val="single" w:color="auto" w:sz="8" w:space="0"/>
              <w:left w:val="single" w:color="auto" w:sz="18" w:space="0"/>
              <w:right w:val="single" w:color="auto" w:sz="8" w:space="0"/>
            </w:tcBorders>
            <w:shd w:val="clear" w:color="auto" w:fill="auto"/>
            <w:noWrap/>
            <w:vAlign w:val="center"/>
          </w:tcPr>
          <w:p>
            <w:pPr>
              <w:snapToGrid w:val="0"/>
              <w:spacing w:line="500" w:lineRule="exact"/>
              <w:jc w:val="center"/>
              <w:rPr>
                <w:rFonts w:ascii="仿宋_GB2312" w:eastAsia="仿宋_GB2312"/>
                <w:sz w:val="24"/>
              </w:rPr>
            </w:pPr>
            <w:r>
              <w:rPr>
                <w:rFonts w:hint="eastAsia" w:ascii="仿宋_GB2312" w:eastAsia="仿宋_GB2312"/>
                <w:sz w:val="24"/>
              </w:rPr>
              <w:t>指导学生省部级专业竞赛（指导/获奖）</w:t>
            </w:r>
          </w:p>
        </w:tc>
        <w:tc>
          <w:tcPr>
            <w:tcW w:w="2126" w:type="dxa"/>
            <w:tcBorders>
              <w:top w:val="single" w:color="auto" w:sz="8" w:space="0"/>
              <w:left w:val="single" w:color="auto" w:sz="8" w:space="0"/>
              <w:right w:val="single" w:color="auto" w:sz="18" w:space="0"/>
            </w:tcBorders>
            <w:shd w:val="clear" w:color="auto" w:fill="auto"/>
            <w:vAlign w:val="center"/>
          </w:tcPr>
          <w:p>
            <w:pPr>
              <w:snapToGrid w:val="0"/>
              <w:spacing w:line="500" w:lineRule="exact"/>
              <w:jc w:val="center"/>
              <w:rPr>
                <w:rFonts w:ascii="仿宋_GB2312" w:eastAsia="仿宋_GB2312"/>
                <w:sz w:val="24"/>
              </w:rPr>
            </w:pPr>
            <w:r>
              <w:rPr>
                <w:rFonts w:ascii="仿宋_GB2312" w:eastAsia="仿宋_GB2312"/>
                <w:sz w:val="24"/>
              </w:rPr>
              <w:t>6分</w:t>
            </w:r>
            <w:r>
              <w:rPr>
                <w:rFonts w:hint="eastAsia" w:ascii="仿宋_GB2312" w:eastAsia="仿宋_GB2312"/>
                <w:sz w:val="24"/>
              </w:rPr>
              <w:t>/</w:t>
            </w:r>
            <w:r>
              <w:rPr>
                <w:rFonts w:ascii="仿宋_GB2312" w:eastAsia="仿宋_GB2312"/>
                <w:sz w:val="24"/>
              </w:rPr>
              <w:t>25分</w:t>
            </w:r>
          </w:p>
        </w:tc>
      </w:tr>
    </w:tbl>
    <w:p>
      <w:pPr>
        <w:snapToGrid w:val="0"/>
        <w:spacing w:line="500" w:lineRule="exact"/>
        <w:rPr>
          <w:rFonts w:ascii="仿宋_GB2312" w:eastAsia="仿宋_GB2312"/>
          <w:sz w:val="24"/>
        </w:rPr>
      </w:pPr>
      <w:r>
        <w:rPr>
          <w:rFonts w:hint="eastAsia" w:ascii="仿宋_GB2312" w:eastAsia="仿宋_GB2312"/>
          <w:sz w:val="24"/>
        </w:rPr>
        <w:t>注：</w:t>
      </w:r>
    </w:p>
    <w:p>
      <w:pPr>
        <w:snapToGrid w:val="0"/>
        <w:spacing w:line="500" w:lineRule="exact"/>
        <w:rPr>
          <w:rFonts w:ascii="仿宋_GB2312" w:eastAsia="仿宋_GB2312"/>
          <w:sz w:val="24"/>
        </w:rPr>
      </w:pPr>
      <w:r>
        <w:rPr>
          <w:rFonts w:hint="eastAsia" w:ascii="仿宋_GB2312" w:eastAsia="仿宋_GB2312"/>
          <w:sz w:val="24"/>
        </w:rPr>
        <w:t>1.“其他国家级科研计划”范围参照学校当年相关规定。</w:t>
      </w:r>
    </w:p>
    <w:p>
      <w:pPr>
        <w:snapToGrid w:val="0"/>
        <w:spacing w:line="500" w:lineRule="exact"/>
        <w:rPr>
          <w:rFonts w:ascii="仿宋_GB2312" w:eastAsia="仿宋_GB2312"/>
          <w:sz w:val="24"/>
        </w:rPr>
      </w:pPr>
      <w:r>
        <w:rPr>
          <w:rFonts w:hint="eastAsia" w:ascii="仿宋_GB2312" w:eastAsia="仿宋_GB2312"/>
          <w:sz w:val="24"/>
        </w:rPr>
        <w:t>2.省部级基金项目仅限教育部基金、省社科基金项目。</w:t>
      </w:r>
    </w:p>
    <w:p>
      <w:pPr>
        <w:snapToGrid w:val="0"/>
        <w:spacing w:line="500" w:lineRule="exact"/>
        <w:rPr>
          <w:rFonts w:ascii="仿宋_GB2312" w:eastAsia="仿宋_GB2312"/>
          <w:sz w:val="24"/>
        </w:rPr>
      </w:pPr>
      <w:r>
        <w:rPr>
          <w:rFonts w:ascii="仿宋_GB2312" w:eastAsia="仿宋_GB2312"/>
          <w:sz w:val="24"/>
        </w:rPr>
        <w:t>3.科研项目研究周期按照</w:t>
      </w:r>
      <w:r>
        <w:rPr>
          <w:rFonts w:hint="eastAsia" w:ascii="仿宋_GB2312" w:eastAsia="仿宋_GB2312"/>
          <w:sz w:val="24"/>
        </w:rPr>
        <w:t>4年计算，第一年按照总分值1</w:t>
      </w:r>
      <w:r>
        <w:rPr>
          <w:rFonts w:ascii="仿宋_GB2312" w:eastAsia="仿宋_GB2312"/>
          <w:sz w:val="24"/>
        </w:rPr>
        <w:t>/6计算</w:t>
      </w:r>
      <w:r>
        <w:rPr>
          <w:rFonts w:hint="eastAsia" w:ascii="仿宋_GB2312" w:eastAsia="仿宋_GB2312"/>
          <w:sz w:val="24"/>
        </w:rPr>
        <w:t>，</w:t>
      </w:r>
      <w:r>
        <w:rPr>
          <w:rFonts w:ascii="仿宋_GB2312" w:eastAsia="仿宋_GB2312"/>
          <w:sz w:val="24"/>
        </w:rPr>
        <w:t>第二</w:t>
      </w:r>
      <w:r>
        <w:rPr>
          <w:rFonts w:hint="eastAsia" w:ascii="仿宋_GB2312" w:eastAsia="仿宋_GB2312"/>
          <w:sz w:val="24"/>
        </w:rPr>
        <w:t>、</w:t>
      </w:r>
      <w:r>
        <w:rPr>
          <w:rFonts w:ascii="仿宋_GB2312" w:eastAsia="仿宋_GB2312"/>
          <w:sz w:val="24"/>
        </w:rPr>
        <w:t>三年各</w:t>
      </w:r>
      <w:r>
        <w:rPr>
          <w:rFonts w:hint="eastAsia" w:ascii="仿宋_GB2312" w:eastAsia="仿宋_GB2312"/>
          <w:sz w:val="24"/>
        </w:rPr>
        <w:t>1</w:t>
      </w:r>
      <w:r>
        <w:rPr>
          <w:rFonts w:ascii="仿宋_GB2312" w:eastAsia="仿宋_GB2312"/>
          <w:sz w:val="24"/>
        </w:rPr>
        <w:t>/3</w:t>
      </w:r>
      <w:r>
        <w:rPr>
          <w:rFonts w:hint="eastAsia" w:ascii="仿宋_GB2312" w:eastAsia="仿宋_GB2312"/>
          <w:sz w:val="24"/>
        </w:rPr>
        <w:t>，</w:t>
      </w:r>
      <w:r>
        <w:rPr>
          <w:rFonts w:ascii="仿宋_GB2312" w:eastAsia="仿宋_GB2312"/>
          <w:sz w:val="24"/>
        </w:rPr>
        <w:t>第四年</w:t>
      </w:r>
      <w:r>
        <w:rPr>
          <w:rFonts w:hint="eastAsia" w:ascii="仿宋_GB2312" w:eastAsia="仿宋_GB2312"/>
          <w:sz w:val="24"/>
        </w:rPr>
        <w:t>1</w:t>
      </w:r>
      <w:r>
        <w:rPr>
          <w:rFonts w:ascii="仿宋_GB2312" w:eastAsia="仿宋_GB2312"/>
          <w:sz w:val="24"/>
        </w:rPr>
        <w:t>/6</w:t>
      </w:r>
      <w:r>
        <w:rPr>
          <w:rFonts w:hint="eastAsia" w:ascii="仿宋_GB2312" w:eastAsia="仿宋_GB2312"/>
          <w:sz w:val="24"/>
        </w:rPr>
        <w:t>。</w:t>
      </w:r>
      <w:r>
        <w:rPr>
          <w:rFonts w:ascii="仿宋_GB2312" w:eastAsia="仿宋_GB2312"/>
          <w:sz w:val="24"/>
        </w:rPr>
        <w:t>获奖分值分配参照学校统一奖励标准</w:t>
      </w:r>
      <w:r>
        <w:rPr>
          <w:rFonts w:hint="eastAsia" w:ascii="仿宋_GB2312" w:eastAsia="仿宋_GB2312"/>
          <w:sz w:val="24"/>
        </w:rPr>
        <w:t>。</w:t>
      </w:r>
      <w:r>
        <w:rPr>
          <w:rFonts w:ascii="仿宋_GB2312" w:eastAsia="仿宋_GB2312"/>
          <w:sz w:val="24"/>
        </w:rPr>
        <w:t>作为参加人参与外单位科研获奖的</w:t>
      </w:r>
      <w:r>
        <w:rPr>
          <w:rFonts w:hint="eastAsia" w:ascii="仿宋_GB2312" w:eastAsia="仿宋_GB2312"/>
          <w:sz w:val="24"/>
        </w:rPr>
        <w:t>，</w:t>
      </w:r>
      <w:r>
        <w:rPr>
          <w:rFonts w:ascii="仿宋_GB2312" w:eastAsia="仿宋_GB2312"/>
          <w:sz w:val="24"/>
        </w:rPr>
        <w:t>我院全部参与人得分按照</w:t>
      </w:r>
      <w:r>
        <w:rPr>
          <w:rFonts w:hint="eastAsia" w:ascii="仿宋_GB2312" w:eastAsia="仿宋_GB2312"/>
          <w:sz w:val="24"/>
        </w:rPr>
        <w:t>1</w:t>
      </w:r>
      <w:r>
        <w:rPr>
          <w:rFonts w:ascii="仿宋_GB2312" w:eastAsia="仿宋_GB2312"/>
          <w:sz w:val="24"/>
        </w:rPr>
        <w:t>/3计算</w:t>
      </w:r>
      <w:r>
        <w:rPr>
          <w:rFonts w:hint="eastAsia" w:ascii="仿宋_GB2312" w:eastAsia="仿宋_GB2312"/>
          <w:sz w:val="24"/>
        </w:rPr>
        <w:t>。</w:t>
      </w:r>
      <w:r>
        <w:rPr>
          <w:rFonts w:ascii="仿宋_GB2312" w:eastAsia="仿宋_GB2312"/>
          <w:sz w:val="24"/>
        </w:rPr>
        <w:t>同一成果同时获得校</w:t>
      </w:r>
      <w:r>
        <w:rPr>
          <w:rFonts w:hint="eastAsia" w:ascii="仿宋_GB2312" w:eastAsia="仿宋_GB2312"/>
          <w:sz w:val="24"/>
        </w:rPr>
        <w:t>、</w:t>
      </w:r>
      <w:r>
        <w:rPr>
          <w:rFonts w:ascii="仿宋_GB2312" w:eastAsia="仿宋_GB2312"/>
          <w:sz w:val="24"/>
        </w:rPr>
        <w:t>省奖的</w:t>
      </w:r>
      <w:r>
        <w:rPr>
          <w:rFonts w:hint="eastAsia" w:ascii="仿宋_GB2312" w:eastAsia="仿宋_GB2312"/>
          <w:sz w:val="24"/>
        </w:rPr>
        <w:t>，</w:t>
      </w:r>
      <w:r>
        <w:rPr>
          <w:rFonts w:ascii="仿宋_GB2312" w:eastAsia="仿宋_GB2312"/>
          <w:sz w:val="24"/>
        </w:rPr>
        <w:t>就高计算</w:t>
      </w:r>
      <w:r>
        <w:rPr>
          <w:rFonts w:hint="eastAsia" w:ascii="仿宋_GB2312" w:eastAsia="仿宋_GB2312"/>
          <w:sz w:val="24"/>
        </w:rPr>
        <w:t>1次。</w:t>
      </w:r>
    </w:p>
    <w:p>
      <w:pPr>
        <w:snapToGrid w:val="0"/>
        <w:spacing w:line="500" w:lineRule="exact"/>
        <w:rPr>
          <w:rFonts w:ascii="仿宋_GB2312" w:eastAsia="仿宋_GB2312"/>
          <w:sz w:val="24"/>
        </w:rPr>
      </w:pPr>
      <w:r>
        <w:rPr>
          <w:rFonts w:hint="eastAsia" w:ascii="仿宋_GB2312" w:eastAsia="仿宋_GB2312"/>
          <w:sz w:val="24"/>
        </w:rPr>
        <w:t>4</w:t>
      </w:r>
      <w:r>
        <w:rPr>
          <w:rFonts w:ascii="仿宋_GB2312" w:eastAsia="仿宋_GB2312"/>
          <w:sz w:val="24"/>
        </w:rPr>
        <w:t>.</w:t>
      </w:r>
      <w:r>
        <w:rPr>
          <w:rFonts w:hint="eastAsia" w:ascii="仿宋_GB2312" w:eastAsia="仿宋_GB2312"/>
          <w:sz w:val="24"/>
        </w:rPr>
        <w:t>学院制定期刊目录，分别按照 A、B、</w:t>
      </w:r>
      <w:r>
        <w:rPr>
          <w:rFonts w:ascii="仿宋_GB2312" w:eastAsia="仿宋_GB2312"/>
          <w:sz w:val="24"/>
        </w:rPr>
        <w:t>C</w:t>
      </w:r>
      <w:r>
        <w:rPr>
          <w:rFonts w:hint="eastAsia" w:ascii="仿宋_GB2312" w:eastAsia="仿宋_GB2312"/>
          <w:sz w:val="24"/>
        </w:rPr>
        <w:t>类设定期刊目录，不在该期刊目录类的其他重要期刊，经学术委员会研究，确认其等级。期刊目录见附录。</w:t>
      </w:r>
    </w:p>
    <w:p>
      <w:pPr>
        <w:snapToGrid w:val="0"/>
        <w:spacing w:line="500" w:lineRule="exact"/>
        <w:rPr>
          <w:rFonts w:ascii="仿宋_GB2312" w:eastAsia="仿宋_GB2312"/>
          <w:sz w:val="24"/>
        </w:rPr>
      </w:pPr>
      <w:r>
        <w:rPr>
          <w:rFonts w:ascii="仿宋_GB2312" w:eastAsia="仿宋_GB2312"/>
          <w:sz w:val="24"/>
        </w:rPr>
        <w:t>5.非独立作者的论文</w:t>
      </w:r>
      <w:r>
        <w:rPr>
          <w:rFonts w:hint="eastAsia" w:ascii="仿宋_GB2312" w:eastAsia="仿宋_GB2312"/>
          <w:sz w:val="24"/>
        </w:rPr>
        <w:t>，</w:t>
      </w:r>
      <w:r>
        <w:rPr>
          <w:rFonts w:ascii="仿宋_GB2312" w:eastAsia="仿宋_GB2312"/>
          <w:sz w:val="24"/>
        </w:rPr>
        <w:t>学生第一作者</w:t>
      </w:r>
      <w:r>
        <w:rPr>
          <w:rFonts w:hint="eastAsia" w:ascii="仿宋_GB2312" w:eastAsia="仿宋_GB2312"/>
          <w:sz w:val="24"/>
        </w:rPr>
        <w:t>，</w:t>
      </w:r>
      <w:r>
        <w:rPr>
          <w:rFonts w:ascii="仿宋_GB2312" w:eastAsia="仿宋_GB2312"/>
          <w:sz w:val="24"/>
        </w:rPr>
        <w:t>导师第二作者的</w:t>
      </w:r>
      <w:r>
        <w:rPr>
          <w:rFonts w:hint="eastAsia" w:ascii="仿宋_GB2312" w:eastAsia="仿宋_GB2312"/>
          <w:sz w:val="24"/>
        </w:rPr>
        <w:t>，</w:t>
      </w:r>
      <w:r>
        <w:rPr>
          <w:rFonts w:ascii="仿宋_GB2312" w:eastAsia="仿宋_GB2312"/>
          <w:sz w:val="24"/>
        </w:rPr>
        <w:t>视为导师第一作者</w:t>
      </w:r>
      <w:r>
        <w:rPr>
          <w:rFonts w:hint="eastAsia" w:ascii="仿宋_GB2312" w:eastAsia="仿宋_GB2312"/>
          <w:sz w:val="24"/>
        </w:rPr>
        <w:t>，</w:t>
      </w:r>
      <w:r>
        <w:rPr>
          <w:rFonts w:ascii="仿宋_GB2312" w:eastAsia="仿宋_GB2312"/>
          <w:sz w:val="24"/>
        </w:rPr>
        <w:t>但第一署名单位必须为南京航空航天大学人文与社会科学学院</w:t>
      </w:r>
      <w:r>
        <w:rPr>
          <w:rFonts w:hint="eastAsia" w:ascii="仿宋_GB2312" w:eastAsia="仿宋_GB2312"/>
          <w:sz w:val="24"/>
        </w:rPr>
        <w:t>。</w:t>
      </w:r>
    </w:p>
    <w:p>
      <w:pPr>
        <w:snapToGrid w:val="0"/>
        <w:spacing w:line="500" w:lineRule="exact"/>
        <w:rPr>
          <w:rFonts w:ascii="仿宋_GB2312" w:eastAsia="仿宋_GB2312"/>
          <w:sz w:val="24"/>
        </w:rPr>
      </w:pPr>
      <w:r>
        <w:rPr>
          <w:rFonts w:ascii="仿宋_GB2312" w:eastAsia="仿宋_GB2312"/>
          <w:sz w:val="24"/>
        </w:rPr>
        <w:t>6.各项目以经费当年入人文与社会科学学院为准</w:t>
      </w:r>
      <w:r>
        <w:rPr>
          <w:rFonts w:hint="eastAsia" w:ascii="仿宋_GB2312" w:eastAsia="仿宋_GB2312"/>
          <w:sz w:val="24"/>
        </w:rPr>
        <w:t>。</w:t>
      </w:r>
    </w:p>
    <w:p>
      <w:pPr>
        <w:snapToGrid w:val="0"/>
        <w:spacing w:line="500" w:lineRule="exact"/>
        <w:rPr>
          <w:rFonts w:ascii="仿宋_GB2312" w:eastAsia="仿宋_GB2312"/>
          <w:sz w:val="24"/>
        </w:rPr>
      </w:pPr>
      <w:r>
        <w:rPr>
          <w:rFonts w:ascii="仿宋_GB2312" w:eastAsia="仿宋_GB2312"/>
          <w:sz w:val="24"/>
        </w:rPr>
        <w:t>7.省社科联奖项</w:t>
      </w:r>
      <w:r>
        <w:rPr>
          <w:rFonts w:hint="eastAsia" w:ascii="仿宋_GB2312" w:eastAsia="仿宋_GB2312"/>
          <w:sz w:val="24"/>
        </w:rPr>
        <w:t>、</w:t>
      </w:r>
      <w:r>
        <w:rPr>
          <w:rFonts w:ascii="仿宋_GB2312" w:eastAsia="仿宋_GB2312"/>
          <w:sz w:val="24"/>
        </w:rPr>
        <w:t>省级一级学会奖项等同校哲社奖计分</w:t>
      </w:r>
      <w:r>
        <w:rPr>
          <w:rFonts w:hint="eastAsia" w:ascii="仿宋_GB2312" w:eastAsia="仿宋_GB2312"/>
          <w:sz w:val="24"/>
        </w:rPr>
        <w:t>，</w:t>
      </w:r>
      <w:r>
        <w:rPr>
          <w:rFonts w:ascii="仿宋_GB2312" w:eastAsia="仿宋_GB2312"/>
          <w:sz w:val="24"/>
        </w:rPr>
        <w:t>会议论文奖不计分</w:t>
      </w:r>
      <w:r>
        <w:rPr>
          <w:rFonts w:hint="eastAsia" w:ascii="仿宋_GB2312" w:eastAsia="仿宋_GB2312"/>
          <w:sz w:val="24"/>
        </w:rPr>
        <w:t>。</w:t>
      </w:r>
    </w:p>
    <w:p>
      <w:pPr>
        <w:snapToGrid w:val="0"/>
        <w:spacing w:line="500" w:lineRule="exact"/>
        <w:rPr>
          <w:rFonts w:ascii="仿宋_GB2312" w:eastAsia="仿宋_GB2312"/>
          <w:sz w:val="24"/>
        </w:rPr>
      </w:pPr>
      <w:r>
        <w:rPr>
          <w:rFonts w:ascii="仿宋_GB2312" w:eastAsia="仿宋_GB2312"/>
          <w:sz w:val="24"/>
        </w:rPr>
        <w:t>8.入选</w:t>
      </w:r>
      <w:r>
        <w:rPr>
          <w:rFonts w:hint="eastAsia" w:ascii="仿宋_GB2312" w:eastAsia="仿宋_GB2312"/>
          <w:sz w:val="24"/>
        </w:rPr>
        <w:t>“青蓝工程”项目视为省社科基金项目，学科带头人计6</w:t>
      </w:r>
      <w:r>
        <w:rPr>
          <w:rFonts w:ascii="仿宋_GB2312" w:eastAsia="仿宋_GB2312"/>
          <w:sz w:val="24"/>
        </w:rPr>
        <w:t>0分</w:t>
      </w:r>
      <w:r>
        <w:rPr>
          <w:rFonts w:hint="eastAsia" w:ascii="仿宋_GB2312" w:eastAsia="仿宋_GB2312"/>
          <w:sz w:val="24"/>
        </w:rPr>
        <w:t>，</w:t>
      </w:r>
      <w:r>
        <w:rPr>
          <w:rFonts w:ascii="仿宋_GB2312" w:eastAsia="仿宋_GB2312"/>
          <w:sz w:val="24"/>
        </w:rPr>
        <w:t>骨干教师计</w:t>
      </w:r>
      <w:r>
        <w:rPr>
          <w:rFonts w:hint="eastAsia" w:ascii="仿宋_GB2312" w:eastAsia="仿宋_GB2312"/>
          <w:sz w:val="24"/>
        </w:rPr>
        <w:t>2</w:t>
      </w:r>
      <w:r>
        <w:rPr>
          <w:rFonts w:ascii="仿宋_GB2312" w:eastAsia="仿宋_GB2312"/>
          <w:sz w:val="24"/>
        </w:rPr>
        <w:t>0分</w:t>
      </w:r>
      <w:r>
        <w:rPr>
          <w:rFonts w:hint="eastAsia" w:ascii="仿宋_GB2312" w:eastAsia="仿宋_GB2312"/>
          <w:sz w:val="24"/>
        </w:rPr>
        <w:t>；“三三三”人才工程第一、二、三层次分别计2</w:t>
      </w:r>
      <w:r>
        <w:rPr>
          <w:rFonts w:ascii="仿宋_GB2312" w:eastAsia="仿宋_GB2312"/>
          <w:sz w:val="24"/>
        </w:rPr>
        <w:t>00分</w:t>
      </w:r>
      <w:r>
        <w:rPr>
          <w:rFonts w:hint="eastAsia" w:ascii="仿宋_GB2312" w:eastAsia="仿宋_GB2312"/>
          <w:sz w:val="24"/>
        </w:rPr>
        <w:t>、1</w:t>
      </w:r>
      <w:r>
        <w:rPr>
          <w:rFonts w:ascii="仿宋_GB2312" w:eastAsia="仿宋_GB2312"/>
          <w:sz w:val="24"/>
        </w:rPr>
        <w:t>00分</w:t>
      </w:r>
      <w:r>
        <w:rPr>
          <w:rFonts w:hint="eastAsia" w:ascii="仿宋_GB2312" w:eastAsia="仿宋_GB2312"/>
          <w:sz w:val="24"/>
        </w:rPr>
        <w:t>、6</w:t>
      </w:r>
      <w:r>
        <w:rPr>
          <w:rFonts w:ascii="仿宋_GB2312" w:eastAsia="仿宋_GB2312"/>
          <w:sz w:val="24"/>
        </w:rPr>
        <w:t>0分</w:t>
      </w:r>
      <w:r>
        <w:rPr>
          <w:rFonts w:hint="eastAsia" w:ascii="仿宋_GB2312" w:eastAsia="仿宋_GB2312"/>
          <w:sz w:val="24"/>
        </w:rPr>
        <w:t>。</w:t>
      </w:r>
    </w:p>
    <w:p>
      <w:pPr>
        <w:snapToGrid w:val="0"/>
        <w:spacing w:line="500" w:lineRule="exact"/>
        <w:rPr>
          <w:rFonts w:ascii="仿宋_GB2312" w:eastAsia="仿宋_GB2312"/>
          <w:sz w:val="24"/>
        </w:rPr>
      </w:pPr>
      <w:r>
        <w:rPr>
          <w:rFonts w:ascii="仿宋_GB2312" w:eastAsia="仿宋_GB2312"/>
          <w:sz w:val="24"/>
        </w:rPr>
        <w:t>9.申报国家社科基金</w:t>
      </w:r>
      <w:r>
        <w:rPr>
          <w:rFonts w:hint="eastAsia" w:ascii="仿宋_GB2312" w:eastAsia="仿宋_GB2312"/>
          <w:sz w:val="24"/>
        </w:rPr>
        <w:t>，</w:t>
      </w:r>
      <w:r>
        <w:rPr>
          <w:rFonts w:ascii="仿宋_GB2312" w:eastAsia="仿宋_GB2312"/>
          <w:sz w:val="24"/>
        </w:rPr>
        <w:t>通过学校评审并上报的</w:t>
      </w:r>
      <w:r>
        <w:rPr>
          <w:rFonts w:hint="eastAsia" w:ascii="仿宋_GB2312" w:eastAsia="仿宋_GB2312"/>
          <w:sz w:val="24"/>
        </w:rPr>
        <w:t>，</w:t>
      </w:r>
      <w:r>
        <w:rPr>
          <w:rFonts w:ascii="仿宋_GB2312" w:eastAsia="仿宋_GB2312"/>
          <w:sz w:val="24"/>
        </w:rPr>
        <w:t>重大项目计</w:t>
      </w:r>
      <w:r>
        <w:rPr>
          <w:rFonts w:hint="eastAsia" w:ascii="仿宋_GB2312" w:eastAsia="仿宋_GB2312"/>
          <w:sz w:val="24"/>
        </w:rPr>
        <w:t>5</w:t>
      </w:r>
      <w:r>
        <w:rPr>
          <w:rFonts w:ascii="仿宋_GB2312" w:eastAsia="仿宋_GB2312"/>
          <w:sz w:val="24"/>
        </w:rPr>
        <w:t>0分</w:t>
      </w:r>
      <w:r>
        <w:rPr>
          <w:rFonts w:hint="eastAsia" w:ascii="仿宋_GB2312" w:eastAsia="仿宋_GB2312"/>
          <w:sz w:val="24"/>
        </w:rPr>
        <w:t>，</w:t>
      </w:r>
      <w:r>
        <w:rPr>
          <w:rFonts w:ascii="仿宋_GB2312" w:eastAsia="仿宋_GB2312"/>
          <w:sz w:val="24"/>
        </w:rPr>
        <w:t>年度项目计</w:t>
      </w:r>
      <w:r>
        <w:rPr>
          <w:rFonts w:hint="eastAsia" w:ascii="仿宋_GB2312" w:eastAsia="仿宋_GB2312"/>
          <w:sz w:val="24"/>
        </w:rPr>
        <w:t>1</w:t>
      </w:r>
      <w:r>
        <w:rPr>
          <w:rFonts w:ascii="仿宋_GB2312" w:eastAsia="仿宋_GB2312"/>
          <w:sz w:val="24"/>
        </w:rPr>
        <w:t>0分</w:t>
      </w:r>
      <w:r>
        <w:rPr>
          <w:rFonts w:hint="eastAsia" w:ascii="仿宋_GB2312" w:eastAsia="仿宋_GB2312"/>
          <w:sz w:val="24"/>
        </w:rPr>
        <w:t>；</w:t>
      </w:r>
      <w:r>
        <w:rPr>
          <w:rFonts w:ascii="仿宋_GB2312" w:eastAsia="仿宋_GB2312"/>
          <w:sz w:val="24"/>
        </w:rPr>
        <w:t>申报省部级基金项目</w:t>
      </w:r>
      <w:r>
        <w:rPr>
          <w:rFonts w:hint="eastAsia" w:ascii="仿宋_GB2312" w:eastAsia="仿宋_GB2312"/>
          <w:sz w:val="24"/>
        </w:rPr>
        <w:t>，</w:t>
      </w:r>
      <w:r>
        <w:rPr>
          <w:rFonts w:ascii="仿宋_GB2312" w:eastAsia="仿宋_GB2312"/>
          <w:sz w:val="24"/>
        </w:rPr>
        <w:t>通过学校评审并上报的</w:t>
      </w:r>
      <w:r>
        <w:rPr>
          <w:rFonts w:hint="eastAsia" w:ascii="仿宋_GB2312" w:eastAsia="仿宋_GB2312"/>
          <w:sz w:val="24"/>
        </w:rPr>
        <w:t>，</w:t>
      </w:r>
      <w:r>
        <w:rPr>
          <w:rFonts w:ascii="仿宋_GB2312" w:eastAsia="仿宋_GB2312"/>
          <w:sz w:val="24"/>
        </w:rPr>
        <w:t>计</w:t>
      </w:r>
      <w:r>
        <w:rPr>
          <w:rFonts w:hint="eastAsia" w:ascii="仿宋_GB2312" w:eastAsia="仿宋_GB2312"/>
          <w:sz w:val="24"/>
        </w:rPr>
        <w:t>5分。每个申报书限用一次，按得分高者计分。</w:t>
      </w:r>
    </w:p>
    <w:p>
      <w:pPr>
        <w:snapToGrid w:val="0"/>
        <w:spacing w:line="500" w:lineRule="exact"/>
        <w:rPr>
          <w:rFonts w:ascii="仿宋_GB2312" w:eastAsia="仿宋_GB2312"/>
          <w:sz w:val="24"/>
        </w:rPr>
      </w:pPr>
      <w:r>
        <w:rPr>
          <w:rFonts w:ascii="仿宋_GB2312" w:eastAsia="仿宋_GB2312"/>
          <w:sz w:val="24"/>
        </w:rPr>
        <w:t>10.在我院两个学科间交叉的科研成果</w:t>
      </w:r>
      <w:r>
        <w:rPr>
          <w:rFonts w:hint="eastAsia" w:ascii="仿宋_GB2312" w:eastAsia="仿宋_GB2312"/>
          <w:sz w:val="24"/>
        </w:rPr>
        <w:t>，A、B类期刊论文</w:t>
      </w:r>
      <w:r>
        <w:rPr>
          <w:rFonts w:ascii="仿宋_GB2312" w:eastAsia="仿宋_GB2312"/>
          <w:sz w:val="24"/>
        </w:rPr>
        <w:t>计分系数为</w:t>
      </w:r>
      <w:r>
        <w:rPr>
          <w:rFonts w:hint="eastAsia" w:ascii="仿宋_GB2312" w:eastAsia="仿宋_GB2312"/>
          <w:sz w:val="24"/>
        </w:rPr>
        <w:t>0</w:t>
      </w:r>
      <w:r>
        <w:rPr>
          <w:rFonts w:ascii="仿宋_GB2312" w:eastAsia="仿宋_GB2312"/>
          <w:sz w:val="24"/>
        </w:rPr>
        <w:t>.7</w:t>
      </w:r>
      <w:r>
        <w:rPr>
          <w:rFonts w:hint="eastAsia" w:ascii="仿宋_GB2312" w:eastAsia="仿宋_GB2312"/>
          <w:sz w:val="24"/>
        </w:rPr>
        <w:t>。</w:t>
      </w:r>
    </w:p>
    <w:p>
      <w:pPr>
        <w:spacing w:line="520" w:lineRule="atLeast"/>
        <w:ind w:firstLine="643" w:firstLineChars="200"/>
        <w:rPr>
          <w:rFonts w:ascii="仿宋_GB2312" w:hAnsi="宋体" w:eastAsia="仿宋_GB2312"/>
          <w:b/>
          <w:sz w:val="32"/>
          <w:szCs w:val="32"/>
        </w:rPr>
      </w:pPr>
      <w:r>
        <w:rPr>
          <w:rFonts w:hint="eastAsia" w:ascii="仿宋_GB2312" w:hAnsi="宋体" w:eastAsia="仿宋_GB2312"/>
          <w:b/>
          <w:sz w:val="32"/>
          <w:szCs w:val="32"/>
        </w:rPr>
        <w:t>八、本办法经学院教职工大会讨论通过后，自</w:t>
      </w:r>
      <w:r>
        <w:rPr>
          <w:rFonts w:ascii="仿宋_GB2312" w:hAnsi="宋体" w:eastAsia="仿宋_GB2312"/>
          <w:b/>
          <w:sz w:val="32"/>
          <w:szCs w:val="32"/>
        </w:rPr>
        <w:t>2019</w:t>
      </w:r>
      <w:r>
        <w:rPr>
          <w:rFonts w:hint="eastAsia" w:ascii="仿宋_GB2312" w:hAnsi="宋体" w:eastAsia="仿宋_GB2312"/>
          <w:b/>
          <w:sz w:val="32"/>
          <w:szCs w:val="32"/>
        </w:rPr>
        <w:t>年起执行。20</w:t>
      </w:r>
      <w:r>
        <w:rPr>
          <w:rFonts w:ascii="仿宋_GB2312" w:hAnsi="宋体" w:eastAsia="仿宋_GB2312"/>
          <w:b/>
          <w:sz w:val="32"/>
          <w:szCs w:val="32"/>
        </w:rPr>
        <w:t>20</w:t>
      </w:r>
      <w:r>
        <w:rPr>
          <w:rFonts w:hint="eastAsia" w:ascii="仿宋_GB2312" w:hAnsi="宋体" w:eastAsia="仿宋_GB2312"/>
          <w:b/>
          <w:sz w:val="32"/>
          <w:szCs w:val="32"/>
        </w:rPr>
        <w:t>年1月1</w:t>
      </w:r>
      <w:r>
        <w:rPr>
          <w:rFonts w:ascii="仿宋_GB2312" w:hAnsi="宋体" w:eastAsia="仿宋_GB2312"/>
          <w:b/>
          <w:sz w:val="32"/>
          <w:szCs w:val="32"/>
        </w:rPr>
        <w:t>7日</w:t>
      </w:r>
      <w:r>
        <w:rPr>
          <w:rFonts w:hint="eastAsia" w:ascii="仿宋_GB2312" w:hAnsi="宋体" w:eastAsia="仿宋_GB2312"/>
          <w:b/>
          <w:sz w:val="32"/>
          <w:szCs w:val="32"/>
        </w:rPr>
        <w:t>、4月2日、</w:t>
      </w:r>
      <w:r>
        <w:rPr>
          <w:rFonts w:ascii="仿宋_GB2312" w:hAnsi="宋体" w:eastAsia="仿宋_GB2312"/>
          <w:b/>
          <w:sz w:val="32"/>
          <w:szCs w:val="32"/>
        </w:rPr>
        <w:t>12</w:t>
      </w:r>
      <w:r>
        <w:rPr>
          <w:rFonts w:hint="eastAsia" w:ascii="仿宋_GB2312" w:hAnsi="宋体" w:eastAsia="仿宋_GB2312"/>
          <w:b/>
          <w:sz w:val="32"/>
          <w:szCs w:val="32"/>
        </w:rPr>
        <w:t>月</w:t>
      </w:r>
      <w:r>
        <w:rPr>
          <w:rFonts w:ascii="仿宋_GB2312" w:hAnsi="宋体" w:eastAsia="仿宋_GB2312"/>
          <w:b/>
          <w:sz w:val="32"/>
          <w:szCs w:val="32"/>
        </w:rPr>
        <w:t>9</w:t>
      </w:r>
      <w:r>
        <w:rPr>
          <w:rFonts w:hint="eastAsia" w:ascii="仿宋_GB2312" w:hAnsi="宋体" w:eastAsia="仿宋_GB2312"/>
          <w:b/>
          <w:sz w:val="32"/>
          <w:szCs w:val="32"/>
        </w:rPr>
        <w:t>日、1</w:t>
      </w:r>
      <w:r>
        <w:rPr>
          <w:rFonts w:ascii="仿宋_GB2312" w:hAnsi="宋体" w:eastAsia="仿宋_GB2312"/>
          <w:b/>
          <w:sz w:val="32"/>
          <w:szCs w:val="32"/>
        </w:rPr>
        <w:t>2月</w:t>
      </w:r>
      <w:r>
        <w:rPr>
          <w:rFonts w:hint="eastAsia" w:ascii="仿宋_GB2312" w:hAnsi="宋体" w:eastAsia="仿宋_GB2312"/>
          <w:b/>
          <w:sz w:val="32"/>
          <w:szCs w:val="32"/>
        </w:rPr>
        <w:t>2</w:t>
      </w:r>
      <w:r>
        <w:rPr>
          <w:rFonts w:ascii="仿宋_GB2312" w:hAnsi="宋体" w:eastAsia="仿宋_GB2312"/>
          <w:b/>
          <w:sz w:val="32"/>
          <w:szCs w:val="32"/>
        </w:rPr>
        <w:t>1日</w:t>
      </w:r>
      <w:r>
        <w:rPr>
          <w:rFonts w:hint="eastAsia" w:ascii="仿宋_GB2312" w:hAnsi="宋体" w:eastAsia="仿宋_GB2312"/>
          <w:b/>
          <w:sz w:val="32"/>
          <w:szCs w:val="32"/>
        </w:rPr>
        <w:t>，学院学术委员根据实际情况及学校《2020—2022年专业技术岗位聘任实施细则》做了修正。</w:t>
      </w:r>
    </w:p>
    <w:p>
      <w:pPr>
        <w:spacing w:line="520" w:lineRule="atLeast"/>
        <w:ind w:firstLine="643" w:firstLineChars="200"/>
        <w:rPr>
          <w:rFonts w:ascii="仿宋_GB2312" w:hAnsi="宋体" w:eastAsia="仿宋_GB2312"/>
          <w:b/>
          <w:sz w:val="32"/>
          <w:szCs w:val="32"/>
        </w:rPr>
      </w:pPr>
      <w:r>
        <w:rPr>
          <w:rFonts w:hint="eastAsia" w:ascii="仿宋_GB2312" w:hAnsi="宋体" w:eastAsia="仿宋_GB2312"/>
          <w:b/>
          <w:sz w:val="32"/>
          <w:szCs w:val="32"/>
        </w:rPr>
        <w:t>九、未符合考核标准，但在教学、科研、学科建设、人才培养、办学拓展等方面做出重大贡献的，由学术委员会讨论决定考核结果。</w:t>
      </w:r>
    </w:p>
    <w:p>
      <w:pPr>
        <w:spacing w:line="520" w:lineRule="atLeast"/>
        <w:ind w:firstLine="643" w:firstLineChars="200"/>
        <w:rPr>
          <w:rFonts w:ascii="黑体" w:eastAsia="黑体"/>
          <w:sz w:val="32"/>
          <w:szCs w:val="32"/>
        </w:rPr>
      </w:pPr>
      <w:r>
        <w:rPr>
          <w:rFonts w:hint="eastAsia" w:ascii="仿宋_GB2312" w:hAnsi="宋体" w:eastAsia="仿宋_GB2312"/>
          <w:b/>
          <w:sz w:val="32"/>
          <w:szCs w:val="32"/>
        </w:rPr>
        <w:t>十、因学校政策变化等原因引起的个别情况，经学院学术委员会研究进行适当调整。其它未尽事宜，由学院学术委员会具体做出解释。</w:t>
      </w: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r>
        <w:rPr>
          <w:rFonts w:hint="eastAsia" w:ascii="黑体" w:eastAsia="黑体"/>
          <w:sz w:val="32"/>
          <w:szCs w:val="32"/>
        </w:rPr>
        <w:t>附录</w:t>
      </w:r>
      <w:r>
        <w:rPr>
          <w:rFonts w:ascii="仿宋_GB2312" w:eastAsia="仿宋_GB2312"/>
          <w:sz w:val="24"/>
        </w:rPr>
        <w:t>:</w:t>
      </w:r>
      <w:r>
        <w:rPr>
          <w:rFonts w:hint="eastAsia" w:ascii="黑体" w:eastAsia="黑体"/>
          <w:sz w:val="32"/>
          <w:szCs w:val="32"/>
        </w:rPr>
        <w:t>期刊分级目录</w:t>
      </w:r>
    </w:p>
    <w:p>
      <w:pPr>
        <w:jc w:val="center"/>
        <w:rPr>
          <w:b/>
          <w:bCs/>
          <w:sz w:val="32"/>
          <w:szCs w:val="32"/>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714"/>
        <w:gridCol w:w="3045"/>
        <w:gridCol w:w="4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930" w:type="pct"/>
            <w:shd w:val="clear" w:color="auto" w:fill="auto"/>
          </w:tcPr>
          <w:p>
            <w:pPr>
              <w:rPr>
                <w:rFonts w:ascii="宋体" w:hAnsi="宋体" w:cs="宋体"/>
                <w:b/>
                <w:szCs w:val="21"/>
              </w:rPr>
            </w:pPr>
          </w:p>
        </w:tc>
        <w:tc>
          <w:tcPr>
            <w:tcW w:w="1652" w:type="pct"/>
          </w:tcPr>
          <w:p>
            <w:pPr>
              <w:widowControl/>
              <w:jc w:val="center"/>
              <w:textAlignment w:val="top"/>
              <w:rPr>
                <w:rFonts w:ascii="宋体" w:hAnsi="宋体" w:cs="宋体"/>
                <w:b/>
                <w:szCs w:val="21"/>
              </w:rPr>
            </w:pPr>
            <w:r>
              <w:rPr>
                <w:rFonts w:hint="eastAsia" w:ascii="宋体" w:hAnsi="宋体" w:cs="宋体"/>
                <w:b/>
                <w:kern w:val="0"/>
                <w:szCs w:val="21"/>
                <w:lang w:bidi="ar"/>
              </w:rPr>
              <w:t>法学</w:t>
            </w:r>
          </w:p>
        </w:tc>
        <w:tc>
          <w:tcPr>
            <w:tcW w:w="2418" w:type="pct"/>
          </w:tcPr>
          <w:p>
            <w:pPr>
              <w:widowControl/>
              <w:jc w:val="center"/>
              <w:textAlignment w:val="top"/>
              <w:rPr>
                <w:rFonts w:ascii="宋体" w:hAnsi="宋体" w:cs="宋体"/>
                <w:b/>
                <w:szCs w:val="21"/>
              </w:rPr>
            </w:pPr>
            <w:r>
              <w:rPr>
                <w:rFonts w:hint="eastAsia" w:ascii="宋体" w:hAnsi="宋体" w:cs="宋体"/>
                <w:b/>
                <w:kern w:val="0"/>
                <w:szCs w:val="21"/>
                <w:lang w:bidi="ar"/>
              </w:rPr>
              <w:t>公共管理（大公管）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restart"/>
            <w:shd w:val="clear" w:color="auto" w:fill="auto"/>
          </w:tcPr>
          <w:p>
            <w:pPr>
              <w:widowControl/>
              <w:jc w:val="center"/>
              <w:textAlignment w:val="top"/>
              <w:rPr>
                <w:rFonts w:ascii="宋体" w:hAnsi="宋体" w:cs="宋体"/>
                <w:b/>
                <w:szCs w:val="21"/>
              </w:rPr>
            </w:pPr>
            <w:r>
              <w:rPr>
                <w:rFonts w:hint="eastAsia" w:ascii="宋体" w:hAnsi="宋体" w:cs="宋体"/>
                <w:b/>
                <w:kern w:val="0"/>
                <w:szCs w:val="21"/>
                <w:lang w:bidi="ar"/>
              </w:rPr>
              <w:t>权威核心</w:t>
            </w:r>
          </w:p>
        </w:tc>
        <w:tc>
          <w:tcPr>
            <w:tcW w:w="1652" w:type="pct"/>
          </w:tcPr>
          <w:p>
            <w:pPr>
              <w:widowControl/>
              <w:jc w:val="center"/>
              <w:textAlignment w:val="top"/>
              <w:rPr>
                <w:rFonts w:ascii="宋体" w:hAnsi="宋体" w:cs="宋体"/>
                <w:szCs w:val="21"/>
              </w:rPr>
            </w:pPr>
            <w:r>
              <w:rPr>
                <w:rFonts w:hint="eastAsia" w:ascii="宋体" w:hAnsi="宋体" w:cs="宋体"/>
                <w:kern w:val="0"/>
                <w:szCs w:val="21"/>
                <w:lang w:bidi="ar"/>
              </w:rPr>
              <w:t>中国法学</w:t>
            </w:r>
          </w:p>
        </w:tc>
        <w:tc>
          <w:tcPr>
            <w:tcW w:w="2418"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中国行政管理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szCs w:val="21"/>
              </w:rPr>
            </w:pPr>
            <w:r>
              <w:rPr>
                <w:rFonts w:hint="eastAsia" w:ascii="宋体" w:hAnsi="宋体" w:cs="宋体"/>
                <w:kern w:val="0"/>
                <w:szCs w:val="21"/>
                <w:lang w:bidi="ar"/>
              </w:rPr>
              <w:t>法学研究</w:t>
            </w:r>
          </w:p>
        </w:tc>
        <w:tc>
          <w:tcPr>
            <w:tcW w:w="2418" w:type="pct"/>
          </w:tcPr>
          <w:p>
            <w:pPr>
              <w:widowControl/>
              <w:jc w:val="center"/>
              <w:textAlignment w:val="top"/>
              <w:rPr>
                <w:rFonts w:ascii="宋体" w:hAnsi="宋体" w:cs="宋体"/>
                <w:szCs w:val="21"/>
              </w:rPr>
            </w:pPr>
            <w:r>
              <w:rPr>
                <w:rFonts w:hint="eastAsia" w:ascii="宋体" w:hAnsi="宋体" w:cs="宋体"/>
                <w:kern w:val="0"/>
                <w:szCs w:val="21"/>
                <w:lang w:bidi="ar"/>
              </w:rPr>
              <w:t>公共管理学报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中外法学</w:t>
            </w:r>
          </w:p>
        </w:tc>
        <w:tc>
          <w:tcPr>
            <w:tcW w:w="2418"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政治学研究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szCs w:val="21"/>
              </w:rPr>
            </w:pPr>
          </w:p>
        </w:tc>
        <w:tc>
          <w:tcPr>
            <w:tcW w:w="2418" w:type="pct"/>
          </w:tcPr>
          <w:p>
            <w:pPr>
              <w:widowControl/>
              <w:jc w:val="center"/>
              <w:textAlignment w:val="top"/>
              <w:rPr>
                <w:rFonts w:ascii="宋体" w:hAnsi="宋体" w:cs="宋体"/>
                <w:szCs w:val="21"/>
              </w:rPr>
            </w:pPr>
            <w:r>
              <w:rPr>
                <w:rFonts w:hint="eastAsia" w:ascii="宋体" w:hAnsi="宋体" w:cs="宋体"/>
                <w:kern w:val="0"/>
                <w:szCs w:val="21"/>
                <w:lang w:bidi="ar"/>
              </w:rPr>
              <w:t>社会学研究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restart"/>
            <w:shd w:val="clear" w:color="auto" w:fill="auto"/>
          </w:tcPr>
          <w:p>
            <w:pPr>
              <w:widowControl/>
              <w:jc w:val="center"/>
              <w:textAlignment w:val="top"/>
              <w:rPr>
                <w:rFonts w:ascii="宋体" w:hAnsi="宋体" w:cs="宋体"/>
                <w:b/>
                <w:szCs w:val="21"/>
              </w:rPr>
            </w:pPr>
            <w:r>
              <w:rPr>
                <w:rFonts w:ascii="宋体" w:hAnsi="宋体" w:cs="宋体"/>
                <w:b/>
                <w:kern w:val="0"/>
                <w:szCs w:val="21"/>
                <w:lang w:bidi="ar"/>
              </w:rPr>
              <w:t>A</w:t>
            </w:r>
            <w:r>
              <w:rPr>
                <w:rFonts w:hint="eastAsia" w:ascii="宋体" w:hAnsi="宋体" w:cs="宋体"/>
                <w:b/>
                <w:kern w:val="0"/>
                <w:szCs w:val="21"/>
                <w:lang w:bidi="ar"/>
              </w:rPr>
              <w:t>类</w:t>
            </w:r>
          </w:p>
        </w:tc>
        <w:tc>
          <w:tcPr>
            <w:tcW w:w="1652" w:type="pct"/>
          </w:tcPr>
          <w:p>
            <w:pPr>
              <w:widowControl/>
              <w:jc w:val="center"/>
              <w:textAlignment w:val="top"/>
              <w:rPr>
                <w:rFonts w:ascii="宋体" w:hAnsi="宋体" w:cs="宋体"/>
                <w:szCs w:val="21"/>
              </w:rPr>
            </w:pPr>
            <w:r>
              <w:rPr>
                <w:rFonts w:hint="eastAsia" w:ascii="宋体" w:hAnsi="宋体" w:cs="宋体"/>
                <w:kern w:val="0"/>
                <w:szCs w:val="21"/>
                <w:lang w:bidi="ar"/>
              </w:rPr>
              <w:t>法商研究</w:t>
            </w:r>
          </w:p>
        </w:tc>
        <w:tc>
          <w:tcPr>
            <w:tcW w:w="2418" w:type="pct"/>
          </w:tcPr>
          <w:p>
            <w:pPr>
              <w:widowControl/>
              <w:jc w:val="center"/>
              <w:textAlignment w:val="top"/>
              <w:rPr>
                <w:rFonts w:ascii="宋体" w:hAnsi="宋体" w:cs="宋体"/>
                <w:szCs w:val="21"/>
              </w:rPr>
            </w:pPr>
            <w:r>
              <w:rPr>
                <w:rFonts w:hint="eastAsia" w:ascii="宋体" w:hAnsi="宋体" w:cs="宋体"/>
                <w:kern w:val="0"/>
                <w:szCs w:val="21"/>
                <w:lang w:bidi="ar"/>
              </w:rPr>
              <w:t>社会保障评论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szCs w:val="21"/>
              </w:rPr>
            </w:pPr>
            <w:r>
              <w:rPr>
                <w:rFonts w:hint="eastAsia" w:ascii="宋体" w:hAnsi="宋体" w:cs="宋体"/>
                <w:kern w:val="0"/>
                <w:szCs w:val="21"/>
                <w:lang w:bidi="ar"/>
              </w:rPr>
              <w:t>清华法学</w:t>
            </w:r>
          </w:p>
        </w:tc>
        <w:tc>
          <w:tcPr>
            <w:tcW w:w="2418" w:type="pct"/>
          </w:tcPr>
          <w:p>
            <w:pPr>
              <w:widowControl/>
              <w:jc w:val="center"/>
              <w:textAlignment w:val="top"/>
              <w:rPr>
                <w:rFonts w:ascii="宋体" w:hAnsi="宋体" w:cs="宋体"/>
                <w:szCs w:val="21"/>
              </w:rPr>
            </w:pPr>
            <w:r>
              <w:rPr>
                <w:rFonts w:hint="eastAsia" w:ascii="宋体" w:hAnsi="宋体" w:cs="宋体"/>
                <w:kern w:val="0"/>
                <w:szCs w:val="21"/>
                <w:lang w:bidi="ar"/>
              </w:rPr>
              <w:t>公共行政评论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szCs w:val="21"/>
              </w:rPr>
            </w:pPr>
            <w:r>
              <w:rPr>
                <w:rFonts w:hint="eastAsia" w:ascii="宋体" w:hAnsi="宋体" w:cs="宋体"/>
                <w:kern w:val="0"/>
                <w:szCs w:val="21"/>
                <w:lang w:bidi="ar"/>
              </w:rPr>
              <w:t>法学家</w:t>
            </w:r>
          </w:p>
        </w:tc>
        <w:tc>
          <w:tcPr>
            <w:tcW w:w="2418"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行政论坛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szCs w:val="21"/>
              </w:rPr>
            </w:pPr>
            <w:r>
              <w:rPr>
                <w:rFonts w:hint="eastAsia" w:ascii="宋体" w:hAnsi="宋体" w:cs="宋体"/>
                <w:kern w:val="0"/>
                <w:szCs w:val="21"/>
                <w:lang w:bidi="ar"/>
              </w:rPr>
              <w:t>法学</w:t>
            </w:r>
          </w:p>
        </w:tc>
        <w:tc>
          <w:tcPr>
            <w:tcW w:w="2418"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中共中央党校学报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szCs w:val="21"/>
              </w:rPr>
            </w:pPr>
            <w:r>
              <w:rPr>
                <w:rFonts w:ascii="宋体" w:hAnsi="宋体" w:cs="宋体"/>
                <w:szCs w:val="21"/>
              </w:rPr>
              <w:t>现代法学</w:t>
            </w:r>
          </w:p>
        </w:tc>
        <w:tc>
          <w:tcPr>
            <w:tcW w:w="2418" w:type="pct"/>
          </w:tcPr>
          <w:p>
            <w:pPr>
              <w:widowControl/>
              <w:jc w:val="center"/>
              <w:textAlignment w:val="top"/>
              <w:rPr>
                <w:rFonts w:ascii="宋体" w:hAnsi="宋体" w:cs="宋体"/>
                <w:szCs w:val="21"/>
              </w:rPr>
            </w:pPr>
            <w:r>
              <w:rPr>
                <w:rFonts w:hint="eastAsia" w:ascii="宋体" w:hAnsi="宋体" w:cs="宋体"/>
                <w:szCs w:val="21"/>
              </w:rPr>
              <w:t>社会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szCs w:val="21"/>
              </w:rPr>
            </w:pPr>
            <w:r>
              <w:rPr>
                <w:rFonts w:hint="eastAsia" w:ascii="宋体" w:hAnsi="宋体" w:cs="宋体"/>
                <w:kern w:val="0"/>
                <w:szCs w:val="21"/>
                <w:lang w:bidi="ar"/>
              </w:rPr>
              <w:t>法律科学（西北政法大学学报）</w:t>
            </w:r>
          </w:p>
        </w:tc>
        <w:tc>
          <w:tcPr>
            <w:tcW w:w="2418" w:type="pct"/>
          </w:tcPr>
          <w:p>
            <w:pPr>
              <w:widowControl/>
              <w:jc w:val="center"/>
              <w:textAlignment w:val="top"/>
              <w:rPr>
                <w:rFonts w:ascii="宋体" w:hAnsi="宋体" w:cs="宋体"/>
                <w:szCs w:val="21"/>
              </w:rPr>
            </w:pPr>
            <w:r>
              <w:rPr>
                <w:rFonts w:hint="eastAsia" w:ascii="宋体" w:hAnsi="宋体" w:cs="宋体"/>
                <w:kern w:val="0"/>
                <w:szCs w:val="21"/>
                <w:lang w:bidi="ar"/>
              </w:rPr>
              <w:t>人口研究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环球法律评论</w:t>
            </w:r>
          </w:p>
        </w:tc>
        <w:tc>
          <w:tcPr>
            <w:tcW w:w="2418" w:type="pct"/>
          </w:tcPr>
          <w:p>
            <w:pPr>
              <w:widowControl/>
              <w:jc w:val="center"/>
              <w:textAlignment w:val="top"/>
              <w:rPr>
                <w:rFonts w:ascii="宋体" w:hAnsi="宋体" w:cs="宋体"/>
                <w:kern w:val="0"/>
                <w:szCs w:val="21"/>
                <w:lang w:bidi="ar"/>
              </w:rPr>
            </w:pPr>
            <w:r>
              <w:rPr>
                <w:rFonts w:ascii="宋体" w:hAnsi="宋体" w:cs="宋体"/>
                <w:kern w:val="0"/>
                <w:szCs w:val="21"/>
                <w:lang w:bidi="ar"/>
              </w:rPr>
              <w:t>电子政务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ascii="宋体" w:hAnsi="宋体" w:cs="宋体"/>
                <w:kern w:val="0"/>
                <w:szCs w:val="21"/>
                <w:lang w:bidi="ar"/>
              </w:rPr>
              <w:t>法学评论</w:t>
            </w:r>
          </w:p>
        </w:tc>
        <w:tc>
          <w:tcPr>
            <w:tcW w:w="2418" w:type="pct"/>
          </w:tcPr>
          <w:p>
            <w:pPr>
              <w:widowControl/>
              <w:jc w:val="center"/>
              <w:textAlignment w:val="top"/>
              <w:rPr>
                <w:rFonts w:ascii="宋体" w:hAnsi="宋体" w:cs="宋体"/>
                <w:szCs w:val="21"/>
              </w:rPr>
            </w:pPr>
            <w:r>
              <w:rPr>
                <w:rFonts w:hint="eastAsia" w:ascii="宋体" w:hAnsi="宋体" w:cs="宋体"/>
                <w:szCs w:val="21"/>
              </w:rPr>
              <w:t>中国人口科学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ascii="宋体" w:hAnsi="宋体" w:cs="宋体"/>
                <w:kern w:val="0"/>
                <w:szCs w:val="21"/>
                <w:lang w:bidi="ar"/>
              </w:rPr>
              <w:t>法制与社会发展</w:t>
            </w:r>
          </w:p>
        </w:tc>
        <w:tc>
          <w:tcPr>
            <w:tcW w:w="2418" w:type="pct"/>
          </w:tcPr>
          <w:p>
            <w:pPr>
              <w:widowControl/>
              <w:jc w:val="center"/>
              <w:textAlignment w:val="top"/>
              <w:rPr>
                <w:rFonts w:ascii="宋体" w:hAnsi="宋体" w:cs="宋体"/>
                <w:szCs w:val="21"/>
              </w:rPr>
            </w:pPr>
            <w:r>
              <w:rPr>
                <w:rFonts w:ascii="宋体" w:hAnsi="宋体" w:cs="宋体"/>
                <w:szCs w:val="21"/>
              </w:rPr>
              <w:t>探索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ascii="宋体" w:hAnsi="宋体" w:cs="宋体"/>
                <w:kern w:val="0"/>
                <w:szCs w:val="21"/>
                <w:lang w:bidi="ar"/>
              </w:rPr>
              <w:t>政法论坛</w:t>
            </w:r>
          </w:p>
        </w:tc>
        <w:tc>
          <w:tcPr>
            <w:tcW w:w="2418" w:type="pct"/>
          </w:tcPr>
          <w:p>
            <w:pPr>
              <w:jc w:val="center"/>
              <w:rPr>
                <w:rFonts w:ascii="宋体" w:hAnsi="宋体" w:cs="宋体"/>
                <w:szCs w:val="21"/>
              </w:rPr>
            </w:pPr>
            <w:r>
              <w:rPr>
                <w:rFonts w:ascii="宋体" w:hAnsi="宋体" w:cs="宋体"/>
                <w:szCs w:val="21"/>
              </w:rPr>
              <w:t>求实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ascii="宋体" w:hAnsi="宋体" w:cs="宋体"/>
                <w:kern w:val="0"/>
                <w:szCs w:val="21"/>
                <w:lang w:bidi="ar"/>
              </w:rPr>
              <w:t>政治与法律</w:t>
            </w:r>
          </w:p>
        </w:tc>
        <w:tc>
          <w:tcPr>
            <w:tcW w:w="2418" w:type="pct"/>
          </w:tcPr>
          <w:p>
            <w:pPr>
              <w:jc w:val="center"/>
              <w:rPr>
                <w:rFonts w:ascii="宋体" w:hAnsi="宋体" w:cs="宋体"/>
                <w:szCs w:val="21"/>
              </w:rPr>
            </w:pPr>
            <w:r>
              <w:rPr>
                <w:rFonts w:ascii="宋体" w:hAnsi="宋体" w:cs="宋体"/>
                <w:szCs w:val="21"/>
              </w:rPr>
              <w:t>社会保障研究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ascii="宋体" w:hAnsi="宋体" w:cs="宋体"/>
                <w:kern w:val="0"/>
                <w:szCs w:val="21"/>
                <w:lang w:bidi="ar"/>
              </w:rPr>
              <w:t>比较法研究</w:t>
            </w:r>
          </w:p>
        </w:tc>
        <w:tc>
          <w:tcPr>
            <w:tcW w:w="2418" w:type="pct"/>
          </w:tcPr>
          <w:p>
            <w:pPr>
              <w:jc w:val="center"/>
              <w:rPr>
                <w:rFonts w:ascii="宋体" w:hAnsi="宋体" w:cs="宋体"/>
                <w:szCs w:val="21"/>
              </w:rPr>
            </w:pPr>
            <w:r>
              <w:rPr>
                <w:rFonts w:hint="eastAsia" w:ascii="宋体" w:hAnsi="宋体" w:cs="宋体"/>
                <w:kern w:val="0"/>
                <w:szCs w:val="21"/>
                <w:lang w:bidi="ar"/>
              </w:rPr>
              <w:t>世界经济与政治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当代法学</w:t>
            </w:r>
          </w:p>
        </w:tc>
        <w:tc>
          <w:tcPr>
            <w:tcW w:w="2418" w:type="pct"/>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法学杂志</w:t>
            </w:r>
          </w:p>
        </w:tc>
        <w:tc>
          <w:tcPr>
            <w:tcW w:w="2418" w:type="pct"/>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ascii="宋体" w:hAnsi="宋体" w:cs="宋体"/>
                <w:kern w:val="0"/>
                <w:szCs w:val="21"/>
                <w:lang w:bidi="ar"/>
              </w:rPr>
              <w:t>法学论坛</w:t>
            </w:r>
          </w:p>
        </w:tc>
        <w:tc>
          <w:tcPr>
            <w:tcW w:w="2418" w:type="pct"/>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华东政法大学学报</w:t>
            </w:r>
          </w:p>
        </w:tc>
        <w:tc>
          <w:tcPr>
            <w:tcW w:w="2418" w:type="pct"/>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东方法学</w:t>
            </w:r>
          </w:p>
        </w:tc>
        <w:tc>
          <w:tcPr>
            <w:tcW w:w="2418" w:type="pct"/>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中国刑事法杂志</w:t>
            </w:r>
          </w:p>
        </w:tc>
        <w:tc>
          <w:tcPr>
            <w:tcW w:w="2418" w:type="pct"/>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restart"/>
            <w:shd w:val="clear" w:color="auto" w:fill="auto"/>
          </w:tcPr>
          <w:p>
            <w:pPr>
              <w:jc w:val="center"/>
              <w:rPr>
                <w:rFonts w:ascii="宋体" w:hAnsi="宋体" w:cs="宋体"/>
                <w:b/>
                <w:szCs w:val="21"/>
              </w:rPr>
            </w:pPr>
            <w:r>
              <w:rPr>
                <w:rFonts w:ascii="宋体" w:hAnsi="宋体" w:cs="宋体"/>
                <w:b/>
                <w:szCs w:val="21"/>
              </w:rPr>
              <w:t>B</w:t>
            </w:r>
            <w:r>
              <w:rPr>
                <w:rFonts w:hint="eastAsia" w:ascii="宋体" w:hAnsi="宋体" w:cs="宋体"/>
                <w:b/>
                <w:szCs w:val="21"/>
              </w:rPr>
              <w:t>类</w:t>
            </w:r>
          </w:p>
        </w:tc>
        <w:tc>
          <w:tcPr>
            <w:tcW w:w="1652"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行政法学研究</w:t>
            </w:r>
          </w:p>
        </w:tc>
        <w:tc>
          <w:tcPr>
            <w:tcW w:w="2418" w:type="pct"/>
          </w:tcPr>
          <w:p>
            <w:pPr>
              <w:jc w:val="center"/>
              <w:rPr>
                <w:rFonts w:ascii="宋体" w:hAnsi="宋体" w:cs="宋体"/>
                <w:szCs w:val="21"/>
              </w:rPr>
            </w:pPr>
            <w:r>
              <w:rPr>
                <w:rFonts w:hint="eastAsia" w:ascii="宋体" w:hAnsi="宋体" w:cs="宋体"/>
                <w:szCs w:val="21"/>
              </w:rPr>
              <w:t>中国青年研究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hint="eastAsia" w:ascii="宋体" w:hAnsi="宋体" w:cs="宋体"/>
                <w:kern w:val="0"/>
                <w:szCs w:val="21"/>
                <w:lang w:bidi="ar"/>
              </w:rPr>
              <w:t>政法论丛</w:t>
            </w:r>
          </w:p>
        </w:tc>
        <w:tc>
          <w:tcPr>
            <w:tcW w:w="2418" w:type="pct"/>
          </w:tcPr>
          <w:p>
            <w:pPr>
              <w:jc w:val="center"/>
              <w:rPr>
                <w:rFonts w:ascii="宋体" w:hAnsi="宋体" w:cs="宋体"/>
                <w:szCs w:val="21"/>
              </w:rPr>
            </w:pPr>
            <w:r>
              <w:rPr>
                <w:rFonts w:hint="eastAsia" w:ascii="宋体" w:hAnsi="宋体" w:cs="宋体"/>
                <w:szCs w:val="21"/>
              </w:rPr>
              <w:t>人口学刊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r>
              <w:rPr>
                <w:rFonts w:ascii="宋体" w:hAnsi="宋体" w:cs="宋体"/>
                <w:kern w:val="0"/>
                <w:szCs w:val="21"/>
                <w:lang w:bidi="ar"/>
              </w:rPr>
              <w:t>国家检察官学院学报</w:t>
            </w:r>
          </w:p>
        </w:tc>
        <w:tc>
          <w:tcPr>
            <w:tcW w:w="2418" w:type="pct"/>
          </w:tcPr>
          <w:p>
            <w:pPr>
              <w:jc w:val="center"/>
              <w:rPr>
                <w:rFonts w:ascii="宋体" w:hAnsi="宋体" w:cs="宋体"/>
                <w:szCs w:val="21"/>
              </w:rPr>
            </w:pPr>
            <w:r>
              <w:rPr>
                <w:rFonts w:hint="eastAsia" w:ascii="宋体" w:hAnsi="宋体" w:cs="宋体"/>
                <w:szCs w:val="21"/>
              </w:rPr>
              <w:t>青年研究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经济体制改革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理论探索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理论探讨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社会学评论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软科学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管理学刊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管理评论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科学学研究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德国研究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国际观察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国际论坛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美国研究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jc w:val="center"/>
              <w:rPr>
                <w:rFonts w:ascii="宋体" w:hAnsi="宋体" w:cs="宋体"/>
                <w:szCs w:val="21"/>
              </w:rPr>
            </w:pPr>
            <w:r>
              <w:rPr>
                <w:rFonts w:hint="eastAsia" w:ascii="宋体" w:hAnsi="宋体" w:cs="宋体"/>
                <w:szCs w:val="21"/>
              </w:rPr>
              <w:t>欧洲研究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vMerge w:val="continue"/>
            <w:shd w:val="clear" w:color="auto" w:fill="auto"/>
          </w:tcPr>
          <w:p>
            <w:pPr>
              <w:jc w:val="center"/>
              <w:rPr>
                <w:rFonts w:ascii="宋体" w:hAnsi="宋体" w:cs="宋体"/>
                <w:b/>
                <w:szCs w:val="21"/>
              </w:rPr>
            </w:pPr>
          </w:p>
        </w:tc>
        <w:tc>
          <w:tcPr>
            <w:tcW w:w="1652" w:type="pct"/>
          </w:tcPr>
          <w:p>
            <w:pPr>
              <w:widowControl/>
              <w:jc w:val="center"/>
              <w:textAlignment w:val="top"/>
              <w:rPr>
                <w:rFonts w:ascii="宋体" w:hAnsi="宋体" w:cs="宋体"/>
                <w:kern w:val="0"/>
                <w:szCs w:val="21"/>
                <w:lang w:bidi="ar"/>
              </w:rPr>
            </w:pPr>
          </w:p>
        </w:tc>
        <w:tc>
          <w:tcPr>
            <w:tcW w:w="2418" w:type="pct"/>
          </w:tcPr>
          <w:p>
            <w:pPr>
              <w:widowControl/>
              <w:jc w:val="center"/>
              <w:textAlignment w:val="top"/>
              <w:rPr>
                <w:rFonts w:ascii="宋体" w:hAnsi="宋体" w:cs="宋体"/>
                <w:szCs w:val="21"/>
              </w:rPr>
            </w:pPr>
            <w:r>
              <w:rPr>
                <w:rFonts w:hint="eastAsia" w:ascii="宋体" w:hAnsi="宋体" w:cs="宋体"/>
                <w:szCs w:val="21"/>
              </w:rPr>
              <w:t>外交评论（外交学院学报）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930" w:type="pct"/>
            <w:shd w:val="clear" w:color="auto" w:fill="auto"/>
          </w:tcPr>
          <w:p>
            <w:pPr>
              <w:jc w:val="center"/>
              <w:rPr>
                <w:rFonts w:ascii="宋体" w:hAnsi="宋体" w:cs="宋体"/>
                <w:b/>
                <w:szCs w:val="21"/>
              </w:rPr>
            </w:pPr>
            <w:r>
              <w:rPr>
                <w:rFonts w:hint="eastAsia" w:ascii="宋体" w:hAnsi="宋体" w:cs="宋体"/>
                <w:b/>
                <w:szCs w:val="21"/>
              </w:rPr>
              <w:t>C类</w:t>
            </w:r>
          </w:p>
        </w:tc>
        <w:tc>
          <w:tcPr>
            <w:tcW w:w="1" w:type="pct"/>
            <w:gridSpan w:val="2"/>
          </w:tcPr>
          <w:p>
            <w:pPr>
              <w:widowControl/>
              <w:jc w:val="center"/>
              <w:textAlignment w:val="top"/>
              <w:rPr>
                <w:rFonts w:ascii="宋体" w:hAnsi="宋体" w:cs="宋体"/>
                <w:szCs w:val="21"/>
              </w:rPr>
            </w:pPr>
            <w:r>
              <w:rPr>
                <w:rFonts w:hint="eastAsia" w:ascii="宋体" w:hAnsi="宋体" w:cs="宋体"/>
                <w:szCs w:val="21"/>
              </w:rPr>
              <w:t>其他C</w:t>
            </w:r>
            <w:r>
              <w:rPr>
                <w:rFonts w:ascii="宋体" w:hAnsi="宋体" w:cs="宋体"/>
                <w:szCs w:val="21"/>
              </w:rPr>
              <w:t>SSCI来源期刊</w:t>
            </w:r>
          </w:p>
        </w:tc>
      </w:tr>
    </w:tbl>
    <w:p/>
    <w:sectPr>
      <w:footerReference r:id="rId3" w:type="default"/>
      <w:footerReference r:id="rId4" w:type="even"/>
      <w:pgSz w:w="11906" w:h="16838"/>
      <w:pgMar w:top="1247" w:right="1230" w:bottom="1089" w:left="1491"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p>
  <w:p>
    <w:pPr>
      <w:pStyle w:val="3"/>
      <w:ind w:right="360" w:firstLine="360"/>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E2DA1"/>
    <w:multiLevelType w:val="multilevel"/>
    <w:tmpl w:val="418E2DA1"/>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C6"/>
    <w:rsid w:val="00002E7C"/>
    <w:rsid w:val="0009617E"/>
    <w:rsid w:val="001554EC"/>
    <w:rsid w:val="001F1EA7"/>
    <w:rsid w:val="002458C6"/>
    <w:rsid w:val="002578F8"/>
    <w:rsid w:val="002A3560"/>
    <w:rsid w:val="002A666D"/>
    <w:rsid w:val="002F6C07"/>
    <w:rsid w:val="00382233"/>
    <w:rsid w:val="003D508C"/>
    <w:rsid w:val="00425A88"/>
    <w:rsid w:val="00450513"/>
    <w:rsid w:val="00556DAA"/>
    <w:rsid w:val="005F61B6"/>
    <w:rsid w:val="00632433"/>
    <w:rsid w:val="00681BDC"/>
    <w:rsid w:val="00767B51"/>
    <w:rsid w:val="007A31DE"/>
    <w:rsid w:val="00817D04"/>
    <w:rsid w:val="00825EE1"/>
    <w:rsid w:val="008D3283"/>
    <w:rsid w:val="009211AC"/>
    <w:rsid w:val="009925DB"/>
    <w:rsid w:val="00A950BD"/>
    <w:rsid w:val="00AE35B5"/>
    <w:rsid w:val="00B34869"/>
    <w:rsid w:val="00B565E6"/>
    <w:rsid w:val="00B96E86"/>
    <w:rsid w:val="00C66109"/>
    <w:rsid w:val="00C92DC2"/>
    <w:rsid w:val="00CA0BAC"/>
    <w:rsid w:val="00E33D75"/>
    <w:rsid w:val="00FC7658"/>
    <w:rsid w:val="00FD00E3"/>
    <w:rsid w:val="1B943F52"/>
    <w:rsid w:val="308D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日期 Char"/>
    <w:basedOn w:val="6"/>
    <w:link w:val="2"/>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834</Words>
  <Characters>4759</Characters>
  <Lines>39</Lines>
  <Paragraphs>11</Paragraphs>
  <TotalTime>173</TotalTime>
  <ScaleCrop>false</ScaleCrop>
  <LinksUpToDate>false</LinksUpToDate>
  <CharactersWithSpaces>5582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2020-12-08T10:38:00Z</dcterms:created>
  <dc:creator>tourist</dc:creator>
  <cp:lastModifiedBy>刘旭</cp:lastModifiedBy>
  <cp:lastPrinted>2020-12-14T08:12:00Z</cp:lastPrinted>
  <dcterms:modified xsi:type="dcterms:W3CDTF">2021-12-27T06:33:41Z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09047F9527E342E3B4A8D210B18C2DC3</vt:lpwstr>
  </property>
</Properties>
</file>